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9B0" w:rsidRDefault="001919B0" w:rsidP="001919B0">
      <w:pPr>
        <w:spacing w:line="240" w:lineRule="auto"/>
        <w:jc w:val="both"/>
        <w:rPr>
          <w:rFonts w:ascii="Cambria" w:eastAsia="Times New Roman" w:hAnsi="Cambria" w:cs="Times New Roman"/>
          <w:b/>
          <w:bCs/>
          <w:color w:val="000000"/>
          <w:lang w:eastAsia="pt-BR"/>
        </w:rPr>
      </w:pPr>
    </w:p>
    <w:p w:rsidR="001919B0" w:rsidRPr="006D5437" w:rsidRDefault="001919B0" w:rsidP="001919B0">
      <w:pPr>
        <w:spacing w:line="240" w:lineRule="auto"/>
        <w:jc w:val="both"/>
        <w:rPr>
          <w:rFonts w:ascii="Times New Roman" w:eastAsia="Times New Roman" w:hAnsi="Times New Roman" w:cs="Times New Roman"/>
          <w:sz w:val="24"/>
          <w:szCs w:val="24"/>
          <w:lang w:eastAsia="pt-BR"/>
        </w:rPr>
      </w:pPr>
      <w:r w:rsidRPr="006D5437">
        <w:rPr>
          <w:rFonts w:ascii="Cambria" w:eastAsia="Times New Roman" w:hAnsi="Cambria" w:cs="Times New Roman"/>
          <w:b/>
          <w:bCs/>
          <w:color w:val="000000"/>
          <w:lang w:eastAsia="pt-BR"/>
        </w:rPr>
        <w:t>EXCELENTÍSSIMO (A) SENHOR (A) DOUTOR (A) JUIZ (A) DE DIREITO DA ____ª VARA DE FAZENDA PÚBLICA DA COMARCA DE ___________.</w:t>
      </w:r>
    </w:p>
    <w:p w:rsidR="001919B0" w:rsidRPr="006D5437" w:rsidRDefault="001919B0" w:rsidP="001919B0">
      <w:pPr>
        <w:spacing w:after="240" w:line="240" w:lineRule="auto"/>
        <w:rPr>
          <w:rFonts w:ascii="Times New Roman" w:eastAsia="Times New Roman" w:hAnsi="Times New Roman" w:cs="Times New Roman"/>
          <w:sz w:val="24"/>
          <w:szCs w:val="24"/>
          <w:lang w:eastAsia="pt-BR"/>
        </w:rPr>
      </w:pPr>
    </w:p>
    <w:p w:rsidR="001919B0" w:rsidRPr="006D5437" w:rsidRDefault="001919B0" w:rsidP="001919B0">
      <w:pPr>
        <w:spacing w:before="280" w:line="240" w:lineRule="auto"/>
        <w:ind w:firstLine="2268"/>
        <w:jc w:val="both"/>
        <w:rPr>
          <w:rFonts w:ascii="Cambria" w:eastAsia="Times New Roman" w:hAnsi="Cambria" w:cs="Times New Roman"/>
          <w:sz w:val="24"/>
          <w:szCs w:val="24"/>
          <w:lang w:eastAsia="pt-BR"/>
        </w:rPr>
      </w:pPr>
      <w:r w:rsidRPr="006D5437">
        <w:rPr>
          <w:rFonts w:ascii="Cambria" w:eastAsia="Times New Roman" w:hAnsi="Cambria" w:cs="Times New Roman"/>
          <w:b/>
          <w:bCs/>
          <w:color w:val="000000"/>
          <w:lang w:eastAsia="pt-BR"/>
        </w:rPr>
        <w:t>[NOME DO CLIENTE]</w:t>
      </w:r>
      <w:r w:rsidRPr="006D5437">
        <w:rPr>
          <w:rFonts w:ascii="Cambria" w:eastAsia="Times New Roman" w:hAnsi="Cambria" w:cs="Times New Roman"/>
          <w:b/>
          <w:bCs/>
          <w:color w:val="000000"/>
          <w:shd w:val="clear" w:color="auto" w:fill="FFFFFF"/>
          <w:lang w:eastAsia="pt-BR"/>
        </w:rPr>
        <w:t xml:space="preserve">, </w:t>
      </w:r>
      <w:r w:rsidRPr="006D5437">
        <w:rPr>
          <w:rFonts w:ascii="Cambria" w:eastAsia="Times New Roman" w:hAnsi="Cambria" w:cs="Times New Roman"/>
          <w:color w:val="000000"/>
          <w:shd w:val="clear" w:color="auto" w:fill="FFFFFF"/>
          <w:lang w:eastAsia="pt-BR"/>
        </w:rPr>
        <w:t>pessoa jurídica de direito privado, inscrita no CNPJ sob o n.º[CNPJ], com sede na [ENDEREÇO]</w:t>
      </w:r>
      <w:r w:rsidRPr="006D5437">
        <w:rPr>
          <w:rFonts w:ascii="Cambria" w:eastAsia="Times New Roman" w:hAnsi="Cambria" w:cs="Arial"/>
          <w:color w:val="000000"/>
          <w:sz w:val="18"/>
          <w:szCs w:val="18"/>
          <w:shd w:val="clear" w:color="auto" w:fill="FFFFFF"/>
          <w:lang w:eastAsia="pt-BR"/>
        </w:rPr>
        <w:t xml:space="preserve"> </w:t>
      </w:r>
      <w:r w:rsidRPr="006D5437">
        <w:rPr>
          <w:rFonts w:ascii="Cambria" w:eastAsia="Times New Roman" w:hAnsi="Cambria" w:cs="Times New Roman"/>
          <w:b/>
          <w:bCs/>
          <w:color w:val="000000"/>
          <w:shd w:val="clear" w:color="auto" w:fill="FFFFFF"/>
          <w:lang w:eastAsia="pt-BR"/>
        </w:rPr>
        <w:t>(Doc. 01)</w:t>
      </w:r>
      <w:r w:rsidRPr="006D5437">
        <w:rPr>
          <w:rFonts w:ascii="Cambria" w:eastAsia="Times New Roman" w:hAnsi="Cambria" w:cs="Times New Roman"/>
          <w:color w:val="000000"/>
          <w:shd w:val="clear" w:color="auto" w:fill="FFFFFF"/>
          <w:lang w:eastAsia="pt-BR"/>
        </w:rPr>
        <w:t xml:space="preserve"> vem, respeitosamente, à presença de Vossa Excelência, por intermédio de seus</w:t>
      </w:r>
      <w:r w:rsidRPr="006D5437">
        <w:rPr>
          <w:rFonts w:ascii="Cambria" w:eastAsia="Times New Roman" w:hAnsi="Cambria" w:cs="Times New Roman"/>
          <w:color w:val="000000"/>
          <w:lang w:eastAsia="pt-BR"/>
        </w:rPr>
        <w:t xml:space="preserve"> advogados,</w:t>
      </w:r>
      <w:r w:rsidRPr="006D5437">
        <w:rPr>
          <w:rFonts w:ascii="Cambria" w:eastAsia="Times New Roman" w:hAnsi="Cambria" w:cs="Times New Roman"/>
          <w:b/>
          <w:bCs/>
          <w:color w:val="000000"/>
          <w:lang w:eastAsia="pt-BR"/>
        </w:rPr>
        <w:t xml:space="preserve"> </w:t>
      </w:r>
      <w:r w:rsidRPr="006D5437">
        <w:rPr>
          <w:rFonts w:ascii="Cambria" w:eastAsia="Times New Roman" w:hAnsi="Cambria" w:cs="Times New Roman"/>
          <w:color w:val="000000"/>
          <w:lang w:eastAsia="pt-BR"/>
        </w:rPr>
        <w:t xml:space="preserve">regularmente constituídos por meio do instrumento de procuração </w:t>
      </w:r>
      <w:r w:rsidRPr="006D5437">
        <w:rPr>
          <w:rFonts w:ascii="Cambria" w:eastAsia="Times New Roman" w:hAnsi="Cambria" w:cs="Times New Roman"/>
          <w:b/>
          <w:bCs/>
          <w:color w:val="000000"/>
          <w:lang w:eastAsia="pt-BR"/>
        </w:rPr>
        <w:t>(Doc. 02)</w:t>
      </w:r>
      <w:r w:rsidRPr="006D5437">
        <w:rPr>
          <w:rFonts w:ascii="Cambria" w:eastAsia="Times New Roman" w:hAnsi="Cambria" w:cs="Times New Roman"/>
          <w:color w:val="000000"/>
          <w:lang w:eastAsia="pt-BR"/>
        </w:rPr>
        <w:t>, com endereço profissional na [ENDEREÇO ADVOGADO], onde recebe intimações, com fulcro no art. 5º, LXIX da CF/88 e art. 1º da Lei 12.016/09, impetrar o presente:</w:t>
      </w:r>
    </w:p>
    <w:p w:rsidR="001919B0" w:rsidRPr="006D5437" w:rsidRDefault="001919B0" w:rsidP="001919B0">
      <w:pPr>
        <w:spacing w:line="240" w:lineRule="auto"/>
        <w:ind w:firstLine="708"/>
        <w:jc w:val="center"/>
        <w:rPr>
          <w:rFonts w:ascii="Cambria" w:eastAsia="Times New Roman" w:hAnsi="Cambria" w:cs="Times New Roman"/>
          <w:sz w:val="24"/>
          <w:szCs w:val="24"/>
          <w:lang w:eastAsia="pt-BR"/>
        </w:rPr>
      </w:pPr>
      <w:r w:rsidRPr="006D5437">
        <w:rPr>
          <w:rFonts w:ascii="Cambria" w:eastAsia="Times New Roman" w:hAnsi="Cambria" w:cs="Times New Roman"/>
          <w:b/>
          <w:bCs/>
          <w:color w:val="000000"/>
          <w:lang w:eastAsia="pt-BR"/>
        </w:rPr>
        <w:t>MANDADO DE SEGURANÇA PREVENTIVO </w:t>
      </w:r>
    </w:p>
    <w:p w:rsidR="001919B0" w:rsidRPr="006D5437" w:rsidRDefault="001919B0" w:rsidP="001919B0">
      <w:pPr>
        <w:spacing w:line="240" w:lineRule="auto"/>
        <w:ind w:firstLine="708"/>
        <w:jc w:val="center"/>
        <w:rPr>
          <w:rFonts w:ascii="Cambria" w:eastAsia="Times New Roman" w:hAnsi="Cambria" w:cs="Times New Roman"/>
          <w:sz w:val="24"/>
          <w:szCs w:val="24"/>
          <w:lang w:eastAsia="pt-BR"/>
        </w:rPr>
      </w:pPr>
      <w:r w:rsidRPr="006D5437">
        <w:rPr>
          <w:rFonts w:ascii="Cambria" w:eastAsia="Times New Roman" w:hAnsi="Cambria" w:cs="Times New Roman"/>
          <w:b/>
          <w:bCs/>
          <w:color w:val="000000"/>
          <w:lang w:eastAsia="pt-BR"/>
        </w:rPr>
        <w:t>C/C MEDIDA LIMINAR </w:t>
      </w:r>
    </w:p>
    <w:p w:rsidR="001919B0" w:rsidRPr="006D5437" w:rsidRDefault="001919B0" w:rsidP="001919B0">
      <w:pPr>
        <w:spacing w:line="240" w:lineRule="auto"/>
        <w:ind w:firstLine="2268"/>
        <w:jc w:val="both"/>
        <w:rPr>
          <w:rFonts w:ascii="Cambria" w:eastAsia="Times New Roman" w:hAnsi="Cambria" w:cs="Times New Roman"/>
          <w:sz w:val="24"/>
          <w:szCs w:val="24"/>
          <w:lang w:eastAsia="pt-BR"/>
        </w:rPr>
      </w:pPr>
      <w:r w:rsidRPr="006D5437">
        <w:rPr>
          <w:rFonts w:ascii="Cambria" w:eastAsia="Times New Roman" w:hAnsi="Cambria" w:cs="Times New Roman"/>
          <w:color w:val="000000"/>
          <w:lang w:eastAsia="pt-BR"/>
        </w:rPr>
        <w:t xml:space="preserve">contra ato coator iminente do </w:t>
      </w:r>
      <w:r w:rsidRPr="006D5437">
        <w:rPr>
          <w:rFonts w:ascii="Cambria" w:eastAsia="Times New Roman" w:hAnsi="Cambria" w:cs="Times New Roman"/>
          <w:b/>
          <w:bCs/>
          <w:color w:val="000000"/>
          <w:lang w:eastAsia="pt-BR"/>
        </w:rPr>
        <w:t>[CARGO DA AUTORIDADE COATORA]</w:t>
      </w:r>
      <w:r w:rsidRPr="006D5437">
        <w:rPr>
          <w:rFonts w:ascii="Cambria" w:eastAsia="Times New Roman" w:hAnsi="Cambria" w:cs="Times New Roman"/>
          <w:color w:val="000000"/>
          <w:lang w:eastAsia="pt-BR"/>
        </w:rPr>
        <w:t xml:space="preserve">, com endereço na [ENDEREÇO AUTORIDADE COATORA], autoridade coatora vinculada ao </w:t>
      </w:r>
      <w:r w:rsidRPr="006D5437">
        <w:rPr>
          <w:rFonts w:ascii="Cambria" w:eastAsia="Times New Roman" w:hAnsi="Cambria" w:cs="Times New Roman"/>
          <w:b/>
          <w:bCs/>
          <w:color w:val="000000"/>
          <w:lang w:eastAsia="pt-BR"/>
        </w:rPr>
        <w:t>[</w:t>
      </w:r>
      <w:r w:rsidRPr="006D5437">
        <w:rPr>
          <w:rFonts w:ascii="Cambria" w:eastAsia="Times New Roman" w:hAnsi="Cambria" w:cs="Times New Roman"/>
          <w:b/>
          <w:bCs/>
          <w:lang w:eastAsia="pt-BR"/>
        </w:rPr>
        <w:t>MUNICÍPIO]</w:t>
      </w:r>
      <w:r w:rsidRPr="006D5437">
        <w:rPr>
          <w:rFonts w:ascii="Cambria" w:eastAsia="Times New Roman" w:hAnsi="Cambria" w:cs="Times New Roman"/>
          <w:lang w:eastAsia="pt-BR"/>
        </w:rPr>
        <w:t>, inscrito no Cadastro Nacional da Pessoa Jurídica – CNPJ sob o número [CNPJ MUNICÍPIO], com sede na [ENDEREÇO SEDE MUNICÍPIO] – ou por quem lhe faça as vezes no exercício da coação ora impugnada, tendo como fundamento as razões de fato e direito a seguir aduzidas.</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r w:rsidRPr="006D5437">
        <w:rPr>
          <w:rFonts w:ascii="Times New Roman" w:eastAsia="Times New Roman" w:hAnsi="Times New Roman" w:cs="Times New Roman"/>
          <w:sz w:val="24"/>
          <w:szCs w:val="24"/>
          <w:lang w:eastAsia="pt-BR"/>
        </w:rPr>
        <w:br/>
      </w:r>
    </w:p>
    <w:p w:rsidR="001919B0" w:rsidRPr="006D5437" w:rsidRDefault="001919B0" w:rsidP="001919B0">
      <w:pPr>
        <w:numPr>
          <w:ilvl w:val="0"/>
          <w:numId w:val="1"/>
        </w:numPr>
        <w:spacing w:line="240" w:lineRule="auto"/>
        <w:ind w:left="2628"/>
        <w:jc w:val="both"/>
        <w:textAlignment w:val="baseline"/>
        <w:rPr>
          <w:rFonts w:ascii="Cambria" w:eastAsia="Times New Roman" w:hAnsi="Cambria" w:cs="Times New Roman"/>
          <w:b/>
          <w:bCs/>
          <w:lang w:eastAsia="pt-BR"/>
        </w:rPr>
      </w:pPr>
      <w:r w:rsidRPr="006D5437">
        <w:rPr>
          <w:rFonts w:ascii="Cambria" w:eastAsia="Times New Roman" w:hAnsi="Cambria" w:cs="Times New Roman"/>
          <w:b/>
          <w:bCs/>
          <w:lang w:eastAsia="pt-BR"/>
        </w:rPr>
        <w:t>DOS FATOS</w:t>
      </w:r>
    </w:p>
    <w:p w:rsidR="001919B0" w:rsidRPr="006D5437" w:rsidRDefault="001919B0" w:rsidP="001919B0">
      <w:pPr>
        <w:spacing w:line="240" w:lineRule="auto"/>
        <w:ind w:firstLine="2268"/>
        <w:jc w:val="both"/>
        <w:rPr>
          <w:rFonts w:ascii="Cambria" w:eastAsia="Times New Roman" w:hAnsi="Cambria" w:cs="Times New Roman"/>
          <w:lang w:eastAsia="pt-BR"/>
        </w:rPr>
      </w:pPr>
      <w:r w:rsidRPr="006D5437">
        <w:rPr>
          <w:rFonts w:ascii="Cambria" w:eastAsia="Times New Roman" w:hAnsi="Cambria" w:cs="Times New Roman"/>
          <w:lang w:eastAsia="pt-BR"/>
        </w:rPr>
        <w:t xml:space="preserve">A Impetrante é uma sociedade uniprofissional de serviços médicos e tem por objeto social </w:t>
      </w:r>
      <w:r w:rsidRPr="00D87F69">
        <w:rPr>
          <w:rFonts w:ascii="Cambria" w:eastAsia="Times New Roman" w:hAnsi="Cambria" w:cs="Times New Roman"/>
          <w:lang w:eastAsia="pt-BR"/>
        </w:rPr>
        <w:t>[DESCRIÇÃO DO OBJETO SOCIAL]</w:t>
      </w:r>
      <w:r w:rsidRPr="006D5437">
        <w:rPr>
          <w:rFonts w:ascii="Cambria" w:eastAsia="Times New Roman" w:hAnsi="Cambria" w:cs="Times New Roman"/>
          <w:lang w:eastAsia="pt-BR"/>
        </w:rPr>
        <w:t xml:space="preserve"> (</w:t>
      </w:r>
      <w:r w:rsidRPr="006D5437">
        <w:rPr>
          <w:rFonts w:ascii="Cambria" w:eastAsia="Times New Roman" w:hAnsi="Cambria" w:cs="Times New Roman"/>
          <w:b/>
          <w:bCs/>
          <w:lang w:eastAsia="pt-BR"/>
        </w:rPr>
        <w:t>Doc. 01</w:t>
      </w:r>
      <w:r w:rsidRPr="006D5437">
        <w:rPr>
          <w:rFonts w:ascii="Cambria" w:eastAsia="Times New Roman" w:hAnsi="Cambria" w:cs="Times New Roman"/>
          <w:lang w:eastAsia="pt-BR"/>
        </w:rPr>
        <w:t>). Ao realizar a prestação de seus serviços, a sociedade procede regularmente recolhimento do Imposto Sobre Serviços de Qualquer Natureza (ISS), destinado ao [MUNICÍPIO]. </w:t>
      </w:r>
    </w:p>
    <w:p w:rsidR="001919B0" w:rsidRPr="00D87F69" w:rsidRDefault="001919B0" w:rsidP="001919B0">
      <w:pPr>
        <w:spacing w:line="240" w:lineRule="auto"/>
        <w:ind w:firstLine="2268"/>
        <w:jc w:val="both"/>
        <w:rPr>
          <w:rFonts w:ascii="Cambria" w:eastAsia="Times New Roman" w:hAnsi="Cambria" w:cs="Times New Roman"/>
          <w:lang w:eastAsia="pt-BR"/>
        </w:rPr>
      </w:pPr>
      <w:r w:rsidRPr="00D87F69">
        <w:rPr>
          <w:rFonts w:ascii="Cambria" w:eastAsia="Times New Roman" w:hAnsi="Cambria" w:cs="Times New Roman"/>
          <w:lang w:eastAsia="pt-BR"/>
        </w:rPr>
        <w:t xml:space="preserve">No desempenho de suas atividades, </w:t>
      </w:r>
      <w:r w:rsidRPr="006D5437">
        <w:rPr>
          <w:rFonts w:ascii="Cambria" w:eastAsia="Times New Roman" w:hAnsi="Cambria" w:cs="Times New Roman"/>
          <w:lang w:eastAsia="pt-BR"/>
        </w:rPr>
        <w:t>a Impetrante presta serviços sob a forma de trabalho pessoal dos seus profissionais, o que deveria induzir a apuração do ISS de forma fixa, nos termos do §3º do art. 9, do Decreto-Lei nº 406/1968</w:t>
      </w:r>
      <w:r w:rsidRPr="00D87F69">
        <w:rPr>
          <w:rFonts w:ascii="Cambria" w:eastAsia="Times New Roman" w:hAnsi="Cambria" w:cs="Times New Roman"/>
          <w:lang w:eastAsia="pt-BR"/>
        </w:rPr>
        <w:t>. Contudo, a</w:t>
      </w:r>
      <w:r w:rsidRPr="006D5437">
        <w:rPr>
          <w:rFonts w:ascii="Cambria" w:eastAsia="Times New Roman" w:hAnsi="Cambria" w:cs="Times New Roman"/>
          <w:lang w:eastAsia="pt-BR"/>
        </w:rPr>
        <w:t xml:space="preserve"> autoridade coatora municipal, </w:t>
      </w:r>
      <w:r w:rsidRPr="00D87F69">
        <w:rPr>
          <w:rFonts w:ascii="Cambria" w:eastAsia="Times New Roman" w:hAnsi="Cambria" w:cs="Times New Roman"/>
          <w:lang w:eastAsia="pt-BR"/>
        </w:rPr>
        <w:t xml:space="preserve">com o intuito de incrementar sua arrecadação, criou diversos obstáculos, </w:t>
      </w:r>
      <w:r w:rsidRPr="006D5437">
        <w:rPr>
          <w:rFonts w:ascii="Cambria" w:eastAsia="Times New Roman" w:hAnsi="Cambria" w:cs="Times New Roman"/>
          <w:lang w:eastAsia="pt-BR"/>
        </w:rPr>
        <w:t>estranhos àqueles mencionados no Decreto-Lei nº 406/68</w:t>
      </w:r>
      <w:r w:rsidRPr="00D87F69">
        <w:rPr>
          <w:rFonts w:ascii="Cambria" w:eastAsia="Times New Roman" w:hAnsi="Cambria" w:cs="Times New Roman"/>
          <w:lang w:eastAsia="pt-BR"/>
        </w:rPr>
        <w:t xml:space="preserve">, </w:t>
      </w:r>
      <w:r w:rsidRPr="006D5437">
        <w:rPr>
          <w:rFonts w:ascii="Cambria" w:eastAsia="Times New Roman" w:hAnsi="Cambria" w:cs="Times New Roman"/>
          <w:lang w:eastAsia="pt-BR"/>
        </w:rPr>
        <w:t xml:space="preserve">para permitir o enquadramento das sociedades de profissionais no regime de tributação fixa. </w:t>
      </w:r>
    </w:p>
    <w:p w:rsidR="001919B0" w:rsidRPr="006D5437" w:rsidRDefault="001919B0" w:rsidP="001919B0">
      <w:pPr>
        <w:spacing w:after="0" w:line="240" w:lineRule="auto"/>
        <w:ind w:left="2268"/>
        <w:jc w:val="both"/>
        <w:rPr>
          <w:rFonts w:ascii="Cambria" w:eastAsia="Times New Roman" w:hAnsi="Cambria" w:cs="Times New Roman"/>
          <w:lang w:eastAsia="pt-BR"/>
        </w:rPr>
      </w:pPr>
      <w:r w:rsidRPr="00D87F69">
        <w:rPr>
          <w:rFonts w:ascii="Cambria" w:eastAsia="Times New Roman" w:hAnsi="Cambria" w:cs="Times New Roman"/>
          <w:lang w:eastAsia="pt-BR"/>
        </w:rPr>
        <w:t>[ESPAÇO PARA A DESCRIÇÃO DOS OBSTÁCULOS]</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Da análise do dispositivo legal acima transcrito, verifica-se que o [MUNICÍPIO], de forma inconstitucional e ilegal, incluiu em seu código tributário diversos requisitos para enquadramento no regime do ISS fixo não previstos no Decreto-Lei nº 406/68, </w:t>
      </w:r>
      <w:r w:rsidRPr="00D87F69">
        <w:rPr>
          <w:rFonts w:ascii="Cambria" w:eastAsia="Times New Roman" w:hAnsi="Cambria" w:cs="Times New Roman"/>
          <w:lang w:eastAsia="pt-BR"/>
        </w:rPr>
        <w:t>a</w:t>
      </w:r>
      <w:r w:rsidRPr="006D5437">
        <w:rPr>
          <w:rFonts w:ascii="Cambria" w:eastAsia="Times New Roman" w:hAnsi="Cambria" w:cs="Times New Roman"/>
          <w:lang w:eastAsia="pt-BR"/>
        </w:rPr>
        <w:t>os quais a Impetrante não se adequa, ocasionando o impedimento da sociedade de profissionais em obter a permissão municipal para desfrutar do regime do ISS fixo.</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Isto posto, evidente que nada adiantaria a Impetrante apresentar requerimento ao Fisco Municipal para alteração do seu regime de recolhimento do ISS, pois lhe seria exigido o cumprimento dos requisitos previstos no Código Tributário </w:t>
      </w:r>
      <w:r w:rsidRPr="00D87F69">
        <w:rPr>
          <w:rFonts w:ascii="Cambria" w:eastAsia="Times New Roman" w:hAnsi="Cambria" w:cs="Times New Roman"/>
          <w:lang w:eastAsia="pt-BR"/>
        </w:rPr>
        <w:t>Municipal</w:t>
      </w:r>
      <w:r w:rsidRPr="006D5437">
        <w:rPr>
          <w:rFonts w:ascii="Cambria" w:eastAsia="Times New Roman" w:hAnsi="Cambria" w:cs="Times New Roman"/>
          <w:lang w:eastAsia="pt-BR"/>
        </w:rPr>
        <w:t>, ainda que não prescritos pelo Decreto-Lei Federal. </w:t>
      </w:r>
    </w:p>
    <w:p w:rsidR="001919B0" w:rsidRDefault="001919B0" w:rsidP="001919B0">
      <w:pPr>
        <w:spacing w:line="240" w:lineRule="auto"/>
        <w:ind w:firstLine="2268"/>
        <w:jc w:val="both"/>
        <w:rPr>
          <w:rFonts w:ascii="Cambria" w:eastAsia="Times New Roman" w:hAnsi="Cambria" w:cs="Times New Roman"/>
          <w:lang w:eastAsia="pt-BR"/>
        </w:rPr>
      </w:pPr>
    </w:p>
    <w:p w:rsidR="001919B0" w:rsidRDefault="001919B0" w:rsidP="001919B0">
      <w:pPr>
        <w:spacing w:line="240" w:lineRule="auto"/>
        <w:ind w:firstLine="2268"/>
        <w:jc w:val="both"/>
        <w:rPr>
          <w:rFonts w:ascii="Cambria" w:eastAsia="Times New Roman" w:hAnsi="Cambria" w:cs="Times New Roman"/>
          <w:lang w:eastAsia="pt-BR"/>
        </w:rPr>
      </w:pP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No entanto, é evidente que a atividade desenvolvida pela Impetrante possui natureza pessoal, na qual os sócios, médicos especialistas, vinculam-se aos seus pacientes e acompanham o tratamento de forma pessoal e individualizada, sendo remunerados de acordo com os atendimentos realizados por cada um deles.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Assim, não obstante o §1º do art. 9, do Decreto-Lei nº 406/1968 determinar que as sociedades que prestarem serviços sob forma pessoal deverão se sujeitar ao ISS calculado de forma fixa, proporcionalmente a cada profissional habilitado e independentemente da importância paga a título de remuneração do próprio trabalho, o Fisco Municipal não reconhece o direito da Impetrante de recolher o referido tributo em tal condição.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Contudo, a Impetrante possui </w:t>
      </w:r>
      <w:r w:rsidRPr="006D5437">
        <w:rPr>
          <w:rFonts w:ascii="Cambria" w:eastAsia="Times New Roman" w:hAnsi="Cambria" w:cs="Times New Roman"/>
          <w:b/>
          <w:bCs/>
          <w:u w:val="single"/>
          <w:lang w:eastAsia="pt-BR"/>
        </w:rPr>
        <w:t>direito líquido e certo a efetuar o</w:t>
      </w:r>
      <w:r w:rsidRPr="006D5437">
        <w:rPr>
          <w:rFonts w:ascii="Cambria" w:eastAsia="Times New Roman" w:hAnsi="Cambria" w:cs="Times New Roman"/>
          <w:u w:val="single"/>
          <w:lang w:eastAsia="pt-BR"/>
        </w:rPr>
        <w:t xml:space="preserve"> </w:t>
      </w:r>
      <w:r w:rsidRPr="006D5437">
        <w:rPr>
          <w:rFonts w:ascii="Cambria" w:eastAsia="Times New Roman" w:hAnsi="Cambria" w:cs="Times New Roman"/>
          <w:b/>
          <w:bCs/>
          <w:u w:val="single"/>
          <w:lang w:eastAsia="pt-BR"/>
        </w:rPr>
        <w:t>recolhimento do ISS calculado de forma fixa, nos moldes do § 3º o art. 9, do DL nº 406/1968</w:t>
      </w:r>
      <w:r w:rsidRPr="006D5437">
        <w:rPr>
          <w:rFonts w:ascii="Cambria" w:eastAsia="Times New Roman" w:hAnsi="Cambria" w:cs="Times New Roman"/>
          <w:u w:val="single"/>
          <w:lang w:eastAsia="pt-BR"/>
        </w:rPr>
        <w:t>,</w:t>
      </w:r>
      <w:r w:rsidRPr="006D5437">
        <w:rPr>
          <w:rFonts w:ascii="Cambria" w:eastAsia="Times New Roman" w:hAnsi="Cambria" w:cs="Times New Roman"/>
          <w:lang w:eastAsia="pt-BR"/>
        </w:rPr>
        <w:t xml:space="preserve"> uma vez que a mesma presta serviços sob a forma de trabalho pessoal dos seus sócios.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Ocorre que este direito líquido e certo é violado pela autoridade coatora, que expande os requisitos legais para concessão do regime de tributação fixa, exigindo das sociedades de profissionais condições não previstas no Decreto-Lei Federal, o que impede a Impetrante de usufruir do ISS fixo no município [MUNICÍPIO], ainda que preencha todos os requisitos previstos pelo DL 406/68.</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Destarte, ante a iminente violação ao direito líquido e certo da Impetrante, que atende os requisitos previstos no DL 406/68 para enquadramento no regime de ISS fixo, mas não cumpre as infundadas exigências da autoridade municipal, necessária se faz a impetração do presente Mandado de Segurança, a fim de autorizar a Impetrante de recolher o ISS nos termos do art. 9, §§ 1º e 3º do Decreto-Lei nº 406/1968. </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r w:rsidRPr="006D5437">
        <w:rPr>
          <w:rFonts w:ascii="Times New Roman" w:eastAsia="Times New Roman" w:hAnsi="Times New Roman" w:cs="Times New Roman"/>
          <w:sz w:val="24"/>
          <w:szCs w:val="24"/>
          <w:lang w:eastAsia="pt-BR"/>
        </w:rPr>
        <w:br/>
      </w:r>
    </w:p>
    <w:p w:rsidR="001919B0" w:rsidRPr="006D5437" w:rsidRDefault="001919B0" w:rsidP="001919B0">
      <w:pPr>
        <w:numPr>
          <w:ilvl w:val="0"/>
          <w:numId w:val="2"/>
        </w:numPr>
        <w:spacing w:line="240" w:lineRule="auto"/>
        <w:ind w:left="2628"/>
        <w:jc w:val="both"/>
        <w:textAlignment w:val="baseline"/>
        <w:rPr>
          <w:rFonts w:ascii="Cambria" w:eastAsia="Times New Roman" w:hAnsi="Cambria" w:cs="Times New Roman"/>
          <w:lang w:eastAsia="pt-BR"/>
        </w:rPr>
      </w:pPr>
      <w:r w:rsidRPr="006D5437">
        <w:rPr>
          <w:rFonts w:ascii="Cambria" w:eastAsia="Times New Roman" w:hAnsi="Cambria" w:cs="Times New Roman"/>
          <w:b/>
          <w:bCs/>
          <w:lang w:eastAsia="pt-BR"/>
        </w:rPr>
        <w:t>DO CABIMENTO E DEMAIS REQUISITOS DE IMPETRAÇÃO</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Estabelecidas as premissas fáticas que lastreiam a urgente concessão de segurança através do presente </w:t>
      </w:r>
      <w:r w:rsidRPr="006D5437">
        <w:rPr>
          <w:rFonts w:ascii="Cambria" w:eastAsia="Times New Roman" w:hAnsi="Cambria" w:cs="Times New Roman"/>
          <w:i/>
          <w:iCs/>
          <w:lang w:eastAsia="pt-BR"/>
        </w:rPr>
        <w:t>writ</w:t>
      </w:r>
      <w:r w:rsidRPr="006D5437">
        <w:rPr>
          <w:rFonts w:ascii="Cambria" w:eastAsia="Times New Roman" w:hAnsi="Cambria" w:cs="Times New Roman"/>
          <w:lang w:eastAsia="pt-BR"/>
        </w:rPr>
        <w:t>, comprovar-se-á, no presente tópico, o preenchimento dos requisitos que permitem a sua admissão e posterior concessão por este d. juízo.</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Neste sentido, como indicado pelo art. 5º, LXIX da Constituição Federal, o Mandado de Segurança é um remédio constitucional voltado à proteção de direito líquido e certo objeto de lesão ou ameaça em decorrência de ilegalidade/abuso de poder (ato coator) praticado por “autoridade pública ou agente de pessoa jurídica no exercício de atribuições do Poder Público” (autoridade coatora).</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No presente caso, consoante restará pormenorizadamente demonstrado em tópico próprio, </w:t>
      </w:r>
      <w:r w:rsidRPr="006D5437">
        <w:rPr>
          <w:rFonts w:ascii="Cambria" w:eastAsia="Times New Roman" w:hAnsi="Cambria" w:cs="Times New Roman"/>
          <w:u w:val="single"/>
          <w:lang w:eastAsia="pt-BR"/>
        </w:rPr>
        <w:t xml:space="preserve">o direito líquido e certo da Impetrante </w:t>
      </w:r>
      <w:r w:rsidRPr="006D5437">
        <w:rPr>
          <w:rFonts w:ascii="Cambria" w:eastAsia="Times New Roman" w:hAnsi="Cambria" w:cs="Times New Roman"/>
          <w:lang w:eastAsia="pt-BR"/>
        </w:rPr>
        <w:t xml:space="preserve">diz respeito </w:t>
      </w:r>
      <w:r w:rsidRPr="006D5437">
        <w:rPr>
          <w:rFonts w:ascii="Cambria" w:eastAsia="Times New Roman" w:hAnsi="Cambria" w:cs="Times New Roman"/>
          <w:u w:val="single"/>
          <w:lang w:eastAsia="pt-BR"/>
        </w:rPr>
        <w:t>ao recolhimento do ISS calculado de forma fixa, nos moldes do § 3º o art. 9, do Decreto-Lei nº 406/1968,</w:t>
      </w:r>
      <w:r w:rsidRPr="006D5437">
        <w:rPr>
          <w:rFonts w:ascii="Cambria" w:eastAsia="Times New Roman" w:hAnsi="Cambria" w:cs="Times New Roman"/>
          <w:lang w:eastAsia="pt-BR"/>
        </w:rPr>
        <w:t xml:space="preserve"> uma vez que a mesma presta serviços sob a forma de trabalho pessoal dos seus sócios.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Destacado, em tom preliminar, o direito líquido e certo da Impetrante, resta indicar </w:t>
      </w:r>
      <w:r w:rsidRPr="006D5437">
        <w:rPr>
          <w:rFonts w:ascii="Cambria" w:eastAsia="Times New Roman" w:hAnsi="Cambria" w:cs="Times New Roman"/>
          <w:u w:val="single"/>
          <w:lang w:eastAsia="pt-BR"/>
        </w:rPr>
        <w:t xml:space="preserve">a autoridade coatora e delimitar a sua legitimidade para figurar junto ao presente </w:t>
      </w:r>
      <w:r w:rsidRPr="006D5437">
        <w:rPr>
          <w:rFonts w:ascii="Cambria" w:eastAsia="Times New Roman" w:hAnsi="Cambria" w:cs="Times New Roman"/>
          <w:i/>
          <w:iCs/>
          <w:u w:val="single"/>
          <w:lang w:eastAsia="pt-BR"/>
        </w:rPr>
        <w:t>writ</w:t>
      </w:r>
      <w:r w:rsidRPr="006D5437">
        <w:rPr>
          <w:rFonts w:ascii="Cambria" w:eastAsia="Times New Roman" w:hAnsi="Cambria" w:cs="Times New Roman"/>
          <w:lang w:eastAsia="pt-BR"/>
        </w:rPr>
        <w:t>.</w:t>
      </w:r>
    </w:p>
    <w:p w:rsidR="001919B0" w:rsidRDefault="001919B0" w:rsidP="001919B0">
      <w:pPr>
        <w:spacing w:line="240" w:lineRule="auto"/>
        <w:ind w:firstLine="2268"/>
        <w:jc w:val="both"/>
        <w:rPr>
          <w:rFonts w:ascii="Cambria" w:eastAsia="Times New Roman" w:hAnsi="Cambria" w:cs="Times New Roman"/>
          <w:lang w:eastAsia="pt-BR"/>
        </w:rPr>
      </w:pP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Em sede de mandado de segurança, deve ser indicado como autoridade coatora aquele agente público com competência para fazer cessar o ato objurgado ou para cumprir a determinação específica pretendida. Nesta hipótese, é legitimado para a posição </w:t>
      </w:r>
      <w:r w:rsidRPr="00C04E30">
        <w:rPr>
          <w:rFonts w:ascii="Cambria" w:eastAsia="Times New Roman" w:hAnsi="Cambria" w:cs="Times New Roman"/>
          <w:lang w:eastAsia="pt-BR"/>
        </w:rPr>
        <w:t>[AUTORIDADE COATORA]</w:t>
      </w:r>
      <w:r w:rsidRPr="006D5437">
        <w:rPr>
          <w:rFonts w:ascii="Cambria" w:eastAsia="Times New Roman" w:hAnsi="Cambria" w:cs="Times New Roman"/>
          <w:lang w:eastAsia="pt-BR"/>
        </w:rPr>
        <w:t>, que detém poderes para regularizar a ilegalidade na apuração do ISS incidente sobre as atividades da Impetrante.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Em complemento, ainda sobre os requisitos de admissibilidade do Mandado de Segurança, é exigido do seu Impetrante a </w:t>
      </w:r>
      <w:r w:rsidRPr="006D5437">
        <w:rPr>
          <w:rFonts w:ascii="Cambria" w:eastAsia="Times New Roman" w:hAnsi="Cambria" w:cs="Times New Roman"/>
          <w:u w:val="single"/>
          <w:lang w:eastAsia="pt-BR"/>
        </w:rPr>
        <w:t>a</w:t>
      </w:r>
      <w:r w:rsidRPr="006D5437">
        <w:rPr>
          <w:rFonts w:ascii="Cambria" w:eastAsia="Times New Roman" w:hAnsi="Cambria" w:cs="Times New Roman"/>
          <w:lang w:eastAsia="pt-BR"/>
        </w:rPr>
        <w:t>presentação de prova pré-constituída apta a demonstrar a violação ou ameaça a seu direito líquido e certo.</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Por esta razão, a Impetrante demonstra documentalmente o enquadramento de suas atividades ao disposto no §3º do art. 9, do Decreto-Lei nº 406/1968, evidentemente, a composição do seu quadro societário, constituído integralmente por médicos, que respondem pessoalmente pela prestação dos seus serviços. </w:t>
      </w:r>
    </w:p>
    <w:p w:rsidR="001919B0" w:rsidRPr="004A14DC"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Logo, caracterizada a iminente violação ao direito líquido e certo da Impetrante, que pode sofrer autuações ou constrições patrimoniais pela autoridade coatora ao proceder o recolhimento do ISS nos termos do §3º do art. 9, do Decreto-Lei nº 406/1968, não restou alternativa a não ser valer-se da tutela jurisdicional estatal por meio do presente Mandado de Segurança. </w:t>
      </w:r>
      <w:r w:rsidRPr="00C04E30">
        <w:rPr>
          <w:rFonts w:ascii="Times New Roman" w:eastAsia="Times New Roman" w:hAnsi="Times New Roman" w:cs="Times New Roman"/>
          <w:sz w:val="24"/>
          <w:szCs w:val="24"/>
          <w:lang w:eastAsia="pt-BR"/>
        </w:rPr>
        <w:tab/>
      </w:r>
      <w:r w:rsidRPr="006D5437">
        <w:rPr>
          <w:rFonts w:ascii="Times New Roman" w:eastAsia="Times New Roman" w:hAnsi="Times New Roman" w:cs="Times New Roman"/>
          <w:sz w:val="24"/>
          <w:szCs w:val="24"/>
          <w:lang w:eastAsia="pt-BR"/>
        </w:rPr>
        <w:br/>
      </w:r>
      <w:r w:rsidRPr="006D5437">
        <w:rPr>
          <w:rFonts w:ascii="Times New Roman" w:eastAsia="Times New Roman" w:hAnsi="Times New Roman" w:cs="Times New Roman"/>
          <w:sz w:val="24"/>
          <w:szCs w:val="24"/>
          <w:lang w:eastAsia="pt-BR"/>
        </w:rPr>
        <w:br/>
      </w:r>
    </w:p>
    <w:p w:rsidR="001919B0" w:rsidRPr="004A14DC" w:rsidRDefault="001919B0" w:rsidP="001919B0">
      <w:pPr>
        <w:numPr>
          <w:ilvl w:val="0"/>
          <w:numId w:val="3"/>
        </w:numPr>
        <w:spacing w:line="240" w:lineRule="auto"/>
        <w:ind w:left="2628"/>
        <w:jc w:val="both"/>
        <w:textAlignment w:val="baseline"/>
        <w:rPr>
          <w:rFonts w:ascii="Cambria" w:eastAsia="Times New Roman" w:hAnsi="Cambria" w:cs="Times New Roman"/>
          <w:lang w:eastAsia="pt-BR"/>
        </w:rPr>
      </w:pPr>
      <w:r w:rsidRPr="004A14DC">
        <w:rPr>
          <w:rFonts w:ascii="Cambria" w:eastAsia="Times New Roman" w:hAnsi="Cambria" w:cs="Times New Roman"/>
          <w:b/>
          <w:bCs/>
          <w:shd w:val="clear" w:color="auto" w:fill="FFFFFF"/>
          <w:lang w:eastAsia="pt-BR"/>
        </w:rPr>
        <w:t xml:space="preserve">DO </w:t>
      </w:r>
      <w:r w:rsidRPr="004A14DC">
        <w:rPr>
          <w:rFonts w:ascii="Cambria" w:eastAsia="Times New Roman" w:hAnsi="Cambria" w:cs="Times New Roman"/>
          <w:b/>
          <w:bCs/>
          <w:lang w:eastAsia="pt-BR"/>
        </w:rPr>
        <w:t>DIREITO</w:t>
      </w:r>
    </w:p>
    <w:p w:rsidR="001919B0" w:rsidRPr="006D5437" w:rsidRDefault="001919B0" w:rsidP="001919B0">
      <w:pPr>
        <w:numPr>
          <w:ilvl w:val="0"/>
          <w:numId w:val="4"/>
        </w:numPr>
        <w:spacing w:line="240" w:lineRule="auto"/>
        <w:ind w:left="3348"/>
        <w:jc w:val="both"/>
        <w:textAlignment w:val="baseline"/>
        <w:rPr>
          <w:rFonts w:ascii="Cambria" w:eastAsia="Times New Roman" w:hAnsi="Cambria" w:cs="Times New Roman"/>
          <w:b/>
          <w:bCs/>
          <w:lang w:eastAsia="pt-BR"/>
        </w:rPr>
      </w:pPr>
      <w:r w:rsidRPr="006D5437">
        <w:rPr>
          <w:rFonts w:ascii="Cambria" w:eastAsia="Times New Roman" w:hAnsi="Cambria" w:cs="Times New Roman"/>
          <w:b/>
          <w:bCs/>
          <w:shd w:val="clear" w:color="auto" w:fill="FFFFFF"/>
          <w:lang w:eastAsia="pt-BR"/>
        </w:rPr>
        <w:t xml:space="preserve">O </w:t>
      </w:r>
      <w:r w:rsidRPr="006D5437">
        <w:rPr>
          <w:rFonts w:ascii="Cambria" w:eastAsia="Times New Roman" w:hAnsi="Cambria" w:cs="Times New Roman"/>
          <w:b/>
          <w:bCs/>
          <w:i/>
          <w:iCs/>
          <w:shd w:val="clear" w:color="auto" w:fill="FFFFFF"/>
          <w:lang w:eastAsia="pt-BR"/>
        </w:rPr>
        <w:t>modus operandi</w:t>
      </w:r>
      <w:r w:rsidRPr="006D5437">
        <w:rPr>
          <w:rFonts w:ascii="Cambria" w:eastAsia="Times New Roman" w:hAnsi="Cambria" w:cs="Times New Roman"/>
          <w:b/>
          <w:bCs/>
          <w:shd w:val="clear" w:color="auto" w:fill="FFFFFF"/>
          <w:lang w:eastAsia="pt-BR"/>
        </w:rPr>
        <w:t xml:space="preserve"> de recolhimento do ISS sobre a prestação de serviços profissionais prevista no art. 9º, §3º, do DL nº 406/68 e a inconstitucionalidade da inovação normativa de caráter restritivo do Impetrado. </w:t>
      </w:r>
    </w:p>
    <w:p w:rsidR="001919B0" w:rsidRPr="006D5437" w:rsidRDefault="001919B0" w:rsidP="001919B0">
      <w:pPr>
        <w:spacing w:line="240" w:lineRule="auto"/>
        <w:ind w:firstLine="2268"/>
        <w:jc w:val="both"/>
        <w:rPr>
          <w:rFonts w:ascii="Times New Roman" w:eastAsia="Times New Roman" w:hAnsi="Times New Roman" w:cs="Times New Roman"/>
          <w:lang w:eastAsia="pt-BR"/>
        </w:rPr>
      </w:pPr>
      <w:r w:rsidRPr="006D5437">
        <w:rPr>
          <w:rFonts w:ascii="Cambria" w:eastAsia="Times New Roman" w:hAnsi="Cambria" w:cs="Times New Roman"/>
          <w:shd w:val="clear" w:color="auto" w:fill="FFFFFF"/>
          <w:lang w:eastAsia="pt-BR"/>
        </w:rPr>
        <w:t xml:space="preserve">No que tange a regulamentação da incidência do Imposto Sobre Serviços de Qualquer Natureza - ISS, </w:t>
      </w:r>
      <w:r w:rsidRPr="006D5437">
        <w:rPr>
          <w:rFonts w:ascii="Cambria" w:eastAsia="Times New Roman" w:hAnsi="Cambria" w:cs="Times New Roman"/>
          <w:b/>
          <w:bCs/>
          <w:u w:val="single"/>
          <w:shd w:val="clear" w:color="auto" w:fill="FFFFFF"/>
          <w:lang w:eastAsia="pt-BR"/>
        </w:rPr>
        <w:t>o Decreto-</w:t>
      </w:r>
      <w:r w:rsidRPr="006D5437">
        <w:rPr>
          <w:rFonts w:ascii="Cambria" w:eastAsia="Times New Roman" w:hAnsi="Cambria" w:cs="Times New Roman"/>
          <w:b/>
          <w:bCs/>
          <w:u w:val="single"/>
          <w:lang w:eastAsia="pt-BR"/>
        </w:rPr>
        <w:t>Lei</w:t>
      </w:r>
      <w:r w:rsidRPr="006D5437">
        <w:rPr>
          <w:rFonts w:ascii="Cambria" w:eastAsia="Times New Roman" w:hAnsi="Cambria" w:cs="Times New Roman"/>
          <w:b/>
          <w:bCs/>
          <w:u w:val="single"/>
          <w:shd w:val="clear" w:color="auto" w:fill="FFFFFF"/>
          <w:lang w:eastAsia="pt-BR"/>
        </w:rPr>
        <w:t xml:space="preserve"> nº 406/1968 foi recepcionado pela Constituição Federal de 1988 com status de lei complementar</w:t>
      </w:r>
      <w:r w:rsidRPr="006D5437">
        <w:rPr>
          <w:rFonts w:ascii="Cambria" w:eastAsia="Times New Roman" w:hAnsi="Cambria" w:cs="Times New Roman"/>
          <w:shd w:val="clear" w:color="auto" w:fill="FFFFFF"/>
          <w:lang w:eastAsia="pt-BR"/>
        </w:rPr>
        <w:t>, encontrando-se em plena vigência no sistema jurídico brasileiro.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Deveras, cumpre ressaltar que lei complementar é espécie normativa de especial importância, apresenta matéria distinta e processo legislativo mais severo e, com isso, torna possível o resguardo de determinadas matérias de caráter infraconstitucional, cuja disciplina é recomendável um maior consenso entre os parlamentares, por emanarem intensas repercussões na ordem social, política ou econômica.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u w:val="single"/>
          <w:shd w:val="clear" w:color="auto" w:fill="FFFFFF"/>
          <w:lang w:eastAsia="pt-BR"/>
        </w:rPr>
        <w:t>O DL nº 406/68, ao tratar sobre regras gerais aplicáveis ao ISS, prevê um regime de tributação especial para aqueles contribuintes que exercem atividade intelectual de natureza científica, literária ou artística, cujo trabalho se desenvolva sob forma de trabalho pessoal.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u w:val="single"/>
          <w:shd w:val="clear" w:color="auto" w:fill="FFFFFF"/>
          <w:lang w:eastAsia="pt-BR"/>
        </w:rPr>
        <w:t>Tal regime de tributação também será aplicável as sociedades de profissionais habilitados ao exercício da mesma atividade, que assumem responsabilidade pessoal pela prestação dos serviços</w:t>
      </w:r>
      <w:r w:rsidRPr="006D5437">
        <w:rPr>
          <w:rFonts w:ascii="Cambria" w:eastAsia="Times New Roman" w:hAnsi="Cambria" w:cs="Times New Roman"/>
          <w:shd w:val="clear" w:color="auto" w:fill="FFFFFF"/>
          <w:lang w:eastAsia="pt-BR"/>
        </w:rPr>
        <w:t>. Assim, deverão calcular o ISS em relação a cada profissional habilitado, conforme observa-se da redação dos mencionados dispositivos</w:t>
      </w:r>
      <w:r w:rsidRPr="006D5437">
        <w:rPr>
          <w:rFonts w:ascii="Cambria" w:eastAsia="Times New Roman" w:hAnsi="Cambria" w:cs="Times New Roman"/>
          <w:color w:val="FF0000"/>
          <w:shd w:val="clear" w:color="auto" w:fill="FFFFFF"/>
          <w:lang w:eastAsia="pt-BR"/>
        </w:rPr>
        <w:t>: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Art 9º A base de cálculo do imposto é o preço do serviço.</w:t>
      </w:r>
    </w:p>
    <w:p w:rsidR="001919B0" w:rsidRDefault="001919B0" w:rsidP="001919B0">
      <w:pPr>
        <w:shd w:val="clear" w:color="auto" w:fill="FFFFFF"/>
        <w:spacing w:after="0" w:line="240" w:lineRule="auto"/>
        <w:ind w:left="2268"/>
        <w:jc w:val="both"/>
        <w:rPr>
          <w:rFonts w:ascii="Cambria" w:eastAsia="Times New Roman" w:hAnsi="Cambria" w:cs="Times New Roman"/>
          <w:sz w:val="20"/>
          <w:szCs w:val="20"/>
          <w:lang w:eastAsia="pt-BR"/>
        </w:rPr>
      </w:pPr>
    </w:p>
    <w:p w:rsidR="001919B0" w:rsidRPr="006D5437" w:rsidRDefault="001919B0" w:rsidP="001919B0">
      <w:pPr>
        <w:shd w:val="clear" w:color="auto" w:fill="FFFFFF"/>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 1º Quando se tratar de </w:t>
      </w:r>
      <w:r w:rsidRPr="006D5437">
        <w:rPr>
          <w:rFonts w:ascii="Cambria" w:eastAsia="Times New Roman" w:hAnsi="Cambria" w:cs="Times New Roman"/>
          <w:b/>
          <w:bCs/>
          <w:sz w:val="20"/>
          <w:szCs w:val="20"/>
          <w:u w:val="single"/>
          <w:lang w:eastAsia="pt-BR"/>
        </w:rPr>
        <w:t>prestação de serviços sob a forma de trabalho pessoal do próprio contribuinte</w:t>
      </w:r>
      <w:r w:rsidRPr="006D5437">
        <w:rPr>
          <w:rFonts w:ascii="Cambria" w:eastAsia="Times New Roman" w:hAnsi="Cambria" w:cs="Times New Roman"/>
          <w:sz w:val="20"/>
          <w:szCs w:val="20"/>
          <w:lang w:eastAsia="pt-BR"/>
        </w:rPr>
        <w:t xml:space="preserve">, o imposto será calculado, por meio de alíquotas fixas ou variáveis, </w:t>
      </w:r>
      <w:r w:rsidRPr="006D5437">
        <w:rPr>
          <w:rFonts w:ascii="Cambria" w:eastAsia="Times New Roman" w:hAnsi="Cambria" w:cs="Times New Roman"/>
          <w:b/>
          <w:bCs/>
          <w:sz w:val="20"/>
          <w:szCs w:val="20"/>
          <w:u w:val="single"/>
          <w:lang w:eastAsia="pt-BR"/>
        </w:rPr>
        <w:t>em função da natureza do serviço ou de outros fatores pertinentes, nestes não compreendida a importância paga a título de remuneração do próprio trabalho</w:t>
      </w:r>
      <w:r w:rsidRPr="006D5437">
        <w:rPr>
          <w:rFonts w:ascii="Cambria" w:eastAsia="Times New Roman" w:hAnsi="Cambria" w:cs="Times New Roman"/>
          <w:sz w:val="20"/>
          <w:szCs w:val="20"/>
          <w:lang w:eastAsia="pt-BR"/>
        </w:rPr>
        <w:t>.</w:t>
      </w:r>
    </w:p>
    <w:p w:rsidR="001919B0" w:rsidRPr="006D5437" w:rsidRDefault="001919B0" w:rsidP="001919B0">
      <w:pPr>
        <w:shd w:val="clear" w:color="auto" w:fill="FFFFFF"/>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 3° Quando os serviços a que se referem os itens 1, 4, 8, 25, 52, 88, 89, 90, 91 e 92 da lista anexa forem </w:t>
      </w:r>
      <w:r w:rsidRPr="006D5437">
        <w:rPr>
          <w:rFonts w:ascii="Cambria" w:eastAsia="Times New Roman" w:hAnsi="Cambria" w:cs="Times New Roman"/>
          <w:b/>
          <w:bCs/>
          <w:sz w:val="20"/>
          <w:szCs w:val="20"/>
          <w:u w:val="single"/>
          <w:lang w:eastAsia="pt-BR"/>
        </w:rPr>
        <w:t>prestados por sociedades, estas ficarão sujeitas ao imposto na forma do § 1°, calculado em relação a cada profissional habilitado, sócio, empregado ou não, que preste serviços em nome da sociedade, embora assumindo responsabilidade pessoal, nos termos da lei aplicável.</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Importante salientar que, após extenso debate doutrinário e jurisprudencial, foi pacificado o entendimento que declara constitucional o referido artigo. Como pode ser vislumbrado através do acórdão do Recurso Extraordinário de número 236.604-7/PR, que resultou na Súmula nº 663/STF:</w:t>
      </w:r>
      <w:r w:rsidRPr="006D5437">
        <w:rPr>
          <w:rFonts w:ascii="Cambria" w:eastAsia="Times New Roman" w:hAnsi="Cambria" w:cs="Times New Roman"/>
          <w:b/>
          <w:bCs/>
          <w:shd w:val="clear" w:color="auto" w:fill="FFFFFF"/>
          <w:lang w:eastAsia="pt-BR"/>
        </w:rPr>
        <w:t xml:space="preserve"> “</w:t>
      </w:r>
      <w:r w:rsidRPr="006D5437">
        <w:rPr>
          <w:rFonts w:ascii="Cambria" w:eastAsia="Times New Roman" w:hAnsi="Cambria" w:cs="Times New Roman"/>
          <w:u w:val="single"/>
          <w:shd w:val="clear" w:color="auto" w:fill="FFFFFF"/>
          <w:lang w:eastAsia="pt-BR"/>
        </w:rPr>
        <w:t>Os §§1º e 3º do art. 9ºdo Decreto-Lei nº 406/1968 foram recebidos pela constituição</w:t>
      </w:r>
      <w:r w:rsidRPr="006D5437">
        <w:rPr>
          <w:rFonts w:ascii="Cambria" w:eastAsia="Times New Roman" w:hAnsi="Cambria" w:cs="Times New Roman"/>
          <w:b/>
          <w:bCs/>
          <w:shd w:val="clear" w:color="auto" w:fill="FFFFFF"/>
          <w:lang w:eastAsia="pt-BR"/>
        </w:rPr>
        <w:t xml:space="preserve">”. </w:t>
      </w:r>
      <w:r w:rsidRPr="006D5437">
        <w:rPr>
          <w:rFonts w:ascii="Cambria" w:eastAsia="Times New Roman" w:hAnsi="Cambria" w:cs="Times New Roman"/>
          <w:shd w:val="clear" w:color="auto" w:fill="FFFFFF"/>
          <w:lang w:eastAsia="pt-BR"/>
        </w:rPr>
        <w:t>É o que se extrai do voto do Ministro relator, Carlos Veloso: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“Abrindo o debate, deixo expresso o meu entendimento no sentido de que as disposições inscritas nos §§ 1o e 3o do DL 406/68 não configuram isenção. O art. 9o e seus §§ dispõem a respeito da base de cálculo do ISS, certo que, na forma do estabelecido na Constituição Federal, art. 146, III, a, cabe à lei complementar estabelecer normas gerais em matéria de legislação tributária, especialmente sobre definição de tributos e de suas espécies, bem como, em relação aos impostos discriminados na Constituição, a dos respectivos fatos geradores, bases de cálculo e contribuintes. </w:t>
      </w:r>
      <w:r w:rsidRPr="006D5437">
        <w:rPr>
          <w:rFonts w:ascii="Cambria" w:eastAsia="Times New Roman" w:hAnsi="Cambria" w:cs="Times New Roman"/>
          <w:b/>
          <w:bCs/>
          <w:sz w:val="20"/>
          <w:szCs w:val="20"/>
          <w:u w:val="single"/>
          <w:lang w:eastAsia="pt-BR"/>
        </w:rPr>
        <w:t>Ora, o DL 406/68 foi recebido como lei complementar, a lei complementar do ICMS e do ISS. Isto é inquestionável</w:t>
      </w:r>
      <w:r w:rsidRPr="006D5437">
        <w:rPr>
          <w:rFonts w:ascii="Cambria" w:eastAsia="Times New Roman" w:hAnsi="Cambria" w:cs="Times New Roman"/>
          <w:sz w:val="20"/>
          <w:szCs w:val="20"/>
          <w:lang w:eastAsia="pt-BR"/>
        </w:rPr>
        <w:t xml:space="preserve">. [...] </w:t>
      </w:r>
      <w:r w:rsidRPr="006D5437">
        <w:rPr>
          <w:rFonts w:ascii="Cambria" w:eastAsia="Times New Roman" w:hAnsi="Cambria" w:cs="Times New Roman"/>
          <w:b/>
          <w:bCs/>
          <w:sz w:val="20"/>
          <w:szCs w:val="20"/>
          <w:u w:val="single"/>
          <w:lang w:eastAsia="pt-BR"/>
        </w:rPr>
        <w:t>Cabendo à lei complementar definir a base de cálculo dos impostos discriminados na Constituição, (C.F./88, art. 146, III, a), certo que o DL 406/68 foi recebido como lei complementar, correto afirmar-se que o art. 9o e seus §§, que cuidam da base de cálculo do ISS, foram, também, recebidos pela Constituição vigente.</w:t>
      </w:r>
      <w:r w:rsidRPr="006D5437">
        <w:rPr>
          <w:rFonts w:ascii="Cambria" w:eastAsia="Times New Roman" w:hAnsi="Cambria" w:cs="Times New Roman"/>
          <w:sz w:val="20"/>
          <w:szCs w:val="20"/>
          <w:lang w:eastAsia="pt-BR"/>
        </w:rPr>
        <w:t xml:space="preserve">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Ademais, em consonância a tal entendimento sumulado, o Superior Tribunal de Justiça (STJ), reconheceu que </w:t>
      </w:r>
      <w:r w:rsidRPr="006D5437">
        <w:rPr>
          <w:rFonts w:ascii="Cambria" w:eastAsia="Times New Roman" w:hAnsi="Cambria" w:cs="Times New Roman"/>
          <w:u w:val="single"/>
          <w:shd w:val="clear" w:color="auto" w:fill="FFFFFF"/>
          <w:lang w:eastAsia="pt-BR"/>
        </w:rPr>
        <w:t>a referida norma não foi revogada pela LC nº 116/03 e que continua em pleno vigor (REsp nº 713.752/ PB e REsp 1.016.688/RS)</w:t>
      </w:r>
      <w:r w:rsidRPr="006D5437">
        <w:rPr>
          <w:rFonts w:ascii="Cambria" w:eastAsia="Times New Roman" w:hAnsi="Cambria" w:cs="Times New Roman"/>
          <w:shd w:val="clear" w:color="auto" w:fill="FFFFFF"/>
          <w:lang w:eastAsia="pt-BR"/>
        </w:rPr>
        <w:t>.</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Assim sendo, como os serviços médicos estão previstos no item 1 da Lista de Serviços anexa ao Decreto-Lei</w:t>
      </w:r>
      <w:r w:rsidRPr="006D5437">
        <w:rPr>
          <w:rFonts w:ascii="Cambria" w:eastAsia="Times New Roman" w:hAnsi="Cambria" w:cs="Times New Roman"/>
          <w:i/>
          <w:iCs/>
          <w:shd w:val="clear" w:color="auto" w:fill="FFFFFF"/>
          <w:lang w:eastAsia="pt-BR"/>
        </w:rPr>
        <w:t>,</w:t>
      </w:r>
      <w:r w:rsidRPr="006D5437">
        <w:rPr>
          <w:rFonts w:ascii="Cambria" w:eastAsia="Times New Roman" w:hAnsi="Cambria" w:cs="Times New Roman"/>
          <w:shd w:val="clear" w:color="auto" w:fill="FFFFFF"/>
          <w:lang w:eastAsia="pt-BR"/>
        </w:rPr>
        <w:t xml:space="preserve"> mencionado pelo § 3º do dispositivo transcrito, as sociedades médicas estão autorizadas a recolher o ISS através da modalidade fixa, de acordo com o número de profissionais habilitados na sociedade.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A propósito, do exame da redação deste diploma legal, constata-se que o </w:t>
      </w:r>
      <w:r w:rsidRPr="006D5437">
        <w:rPr>
          <w:rFonts w:ascii="Cambria" w:eastAsia="Times New Roman" w:hAnsi="Cambria" w:cs="Times New Roman"/>
          <w:u w:val="single"/>
          <w:lang w:eastAsia="pt-BR"/>
        </w:rPr>
        <w:t xml:space="preserve">§ 3º, ao mencionar a possibilidade das sociedades uniprofissionais recolherem o ISS de acordo com a sistemática fixa, faz menção a prestação de serviços por sociedades, tão somente. </w:t>
      </w:r>
      <w:r w:rsidRPr="006D5437">
        <w:rPr>
          <w:rFonts w:ascii="Cambria" w:eastAsia="Times New Roman" w:hAnsi="Cambria" w:cs="Times New Roman"/>
          <w:b/>
          <w:bCs/>
          <w:u w:val="single"/>
          <w:lang w:eastAsia="pt-BR"/>
        </w:rPr>
        <w:t>O decreto não distingue a forma de organização societária, se civil ou limitada, ou até mesmo sociedade simples ou empresária</w:t>
      </w:r>
      <w:r w:rsidRPr="006D5437">
        <w:rPr>
          <w:rFonts w:ascii="Cambria" w:eastAsia="Times New Roman" w:hAnsi="Cambria" w:cs="Times New Roman"/>
          <w:u w:val="single"/>
          <w:lang w:eastAsia="pt-BR"/>
        </w:rPr>
        <w:t>.</w:t>
      </w:r>
      <w:r w:rsidRPr="006D5437">
        <w:rPr>
          <w:rFonts w:ascii="Cambria" w:eastAsia="Times New Roman" w:hAnsi="Cambria" w:cs="Times New Roman"/>
          <w:b/>
          <w:bCs/>
          <w:u w:val="single"/>
          <w:lang w:eastAsia="pt-BR"/>
        </w:rPr>
        <w:t>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Por conseguinte, </w:t>
      </w:r>
      <w:r w:rsidRPr="006D5437">
        <w:rPr>
          <w:rFonts w:ascii="Cambria" w:eastAsia="Times New Roman" w:hAnsi="Cambria" w:cs="Times New Roman"/>
          <w:b/>
          <w:bCs/>
          <w:u w:val="single"/>
          <w:lang w:eastAsia="pt-BR"/>
        </w:rPr>
        <w:t>é obvio que não há óbice para que sociedades limitadas, ainda que organizada sob a forma de sociedade empresária, se enquadrem na sistemática de recolhimento do ISS fixo, contanto que cumpram os demais requisitos previstos no Decreto-Lei</w:t>
      </w:r>
      <w:r w:rsidRPr="006D5437">
        <w:rPr>
          <w:rFonts w:ascii="Cambria" w:eastAsia="Times New Roman" w:hAnsi="Cambria" w:cs="Times New Roman"/>
          <w:lang w:eastAsia="pt-BR"/>
        </w:rPr>
        <w:t xml:space="preserve">, quais sejam, a prestação de serviços sob a forma de </w:t>
      </w:r>
      <w:r w:rsidRPr="006D5437">
        <w:rPr>
          <w:rFonts w:ascii="Cambria" w:eastAsia="Times New Roman" w:hAnsi="Cambria" w:cs="Times New Roman"/>
          <w:lang w:eastAsia="pt-BR"/>
        </w:rPr>
        <w:lastRenderedPageBreak/>
        <w:t>trabalho pessoal de seus profissionais, que devem assumir responsabilidade pessoal pelas atividades desenvolvidas.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b/>
          <w:bCs/>
          <w:u w:val="single"/>
          <w:lang w:eastAsia="pt-BR"/>
        </w:rPr>
        <w:t>O que importa, para fins de enquadramento no regime fixo do ISS, é o objetivo personalíssimo da prestação do serviço, evidenciando a responsabilidade pessoal dos sócios, e não aspectos formais da organização empresaria, irrelevantes para constatar a essência particular e intelectual da prestação dos serviços</w:t>
      </w:r>
      <w:r w:rsidRPr="006D5437">
        <w:rPr>
          <w:rFonts w:ascii="Cambria" w:eastAsia="Times New Roman" w:hAnsi="Cambria" w:cs="Times New Roman"/>
          <w:u w:val="single"/>
          <w:lang w:eastAsia="pt-BR"/>
        </w:rPr>
        <w:t>.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Contudo, apesar da abrangência da redação do Decreto-</w:t>
      </w:r>
      <w:r w:rsidRPr="006D5437">
        <w:rPr>
          <w:rFonts w:ascii="Cambria" w:eastAsia="Times New Roman" w:hAnsi="Cambria" w:cs="Times New Roman"/>
          <w:lang w:eastAsia="pt-BR"/>
        </w:rPr>
        <w:t>Lei</w:t>
      </w:r>
      <w:r w:rsidRPr="006D5437">
        <w:rPr>
          <w:rFonts w:ascii="Cambria" w:eastAsia="Times New Roman" w:hAnsi="Cambria" w:cs="Times New Roman"/>
          <w:shd w:val="clear" w:color="auto" w:fill="FFFFFF"/>
          <w:lang w:eastAsia="pt-BR"/>
        </w:rPr>
        <w:t xml:space="preserve"> nº 406/1968, o </w:t>
      </w:r>
      <w:r w:rsidRPr="00D87F69">
        <w:rPr>
          <w:rFonts w:ascii="Cambria" w:eastAsia="Times New Roman" w:hAnsi="Cambria" w:cs="Times New Roman"/>
          <w:shd w:val="clear" w:color="auto" w:fill="FFFFFF"/>
          <w:lang w:eastAsia="pt-BR"/>
        </w:rPr>
        <w:t>[MUNICÍPIO]</w:t>
      </w:r>
      <w:r w:rsidRPr="006D5437">
        <w:rPr>
          <w:rFonts w:ascii="Cambria" w:eastAsia="Times New Roman" w:hAnsi="Cambria" w:cs="Times New Roman"/>
          <w:shd w:val="clear" w:color="auto" w:fill="FFFFFF"/>
          <w:lang w:eastAsia="pt-BR"/>
        </w:rPr>
        <w:t xml:space="preserve">, em sua Lei </w:t>
      </w:r>
      <w:r w:rsidRPr="006D5437">
        <w:rPr>
          <w:rFonts w:ascii="Cambria" w:eastAsia="Times New Roman" w:hAnsi="Cambria" w:cs="Times New Roman"/>
          <w:lang w:eastAsia="pt-BR"/>
        </w:rPr>
        <w:t xml:space="preserve">nº </w:t>
      </w:r>
      <w:r w:rsidRPr="00D87F69">
        <w:rPr>
          <w:rFonts w:ascii="Cambria" w:eastAsia="Times New Roman" w:hAnsi="Cambria" w:cs="Times New Roman"/>
          <w:lang w:eastAsia="pt-BR"/>
        </w:rPr>
        <w:t>[LEI]</w:t>
      </w:r>
      <w:r w:rsidRPr="006D5437">
        <w:rPr>
          <w:rFonts w:ascii="Cambria" w:eastAsia="Times New Roman" w:hAnsi="Cambria" w:cs="Times New Roman"/>
          <w:shd w:val="clear" w:color="auto" w:fill="FFFFFF"/>
          <w:lang w:eastAsia="pt-BR"/>
        </w:rPr>
        <w:t>, insere diversas outras exigências para o enquadramento no regime de tributação fixo do ISS, restringindo a amplitude de norma com status de lei complementar, conforme observa-se: </w:t>
      </w:r>
    </w:p>
    <w:p w:rsidR="001919B0" w:rsidRPr="006D5437" w:rsidRDefault="001919B0" w:rsidP="001919B0">
      <w:pPr>
        <w:spacing w:after="0" w:line="240" w:lineRule="auto"/>
        <w:ind w:left="2268"/>
        <w:jc w:val="both"/>
        <w:rPr>
          <w:rFonts w:ascii="Cambria" w:eastAsia="Times New Roman" w:hAnsi="Cambria" w:cs="Times New Roman"/>
          <w:lang w:eastAsia="pt-BR"/>
        </w:rPr>
      </w:pPr>
      <w:r w:rsidRPr="00D87F69">
        <w:rPr>
          <w:rFonts w:ascii="Cambria" w:eastAsia="Times New Roman" w:hAnsi="Cambria" w:cs="Times New Roman"/>
          <w:lang w:eastAsia="pt-BR"/>
        </w:rPr>
        <w:t>[ESPAÇO PARA A DESCRIÇÃO DOS OBSTÁCULOS]</w:t>
      </w:r>
    </w:p>
    <w:p w:rsidR="001919B0" w:rsidRPr="006D5437" w:rsidRDefault="001919B0" w:rsidP="001919B0">
      <w:pPr>
        <w:shd w:val="clear" w:color="auto" w:fill="FFFFFF"/>
        <w:spacing w:after="0" w:line="240" w:lineRule="auto"/>
        <w:ind w:left="2268"/>
        <w:jc w:val="both"/>
        <w:rPr>
          <w:rFonts w:ascii="Times New Roman" w:eastAsia="Times New Roman" w:hAnsi="Times New Roman" w:cs="Times New Roman"/>
          <w:sz w:val="24"/>
          <w:szCs w:val="24"/>
          <w:lang w:eastAsia="pt-BR"/>
        </w:rPr>
      </w:pPr>
    </w:p>
    <w:p w:rsidR="001919B0" w:rsidRPr="006D5437" w:rsidRDefault="001919B0" w:rsidP="001919B0">
      <w:pPr>
        <w:spacing w:line="240" w:lineRule="auto"/>
        <w:ind w:firstLine="2268"/>
        <w:jc w:val="both"/>
        <w:rPr>
          <w:rFonts w:ascii="Cambria" w:eastAsia="Times New Roman" w:hAnsi="Cambria" w:cs="Times New Roman"/>
          <w:shd w:val="clear" w:color="auto" w:fill="FFFFFF"/>
          <w:lang w:eastAsia="pt-BR"/>
        </w:rPr>
      </w:pPr>
      <w:r w:rsidRPr="006D5437">
        <w:rPr>
          <w:rFonts w:ascii="Cambria" w:eastAsia="Times New Roman" w:hAnsi="Cambria" w:cs="Times New Roman"/>
          <w:lang w:eastAsia="pt-BR"/>
        </w:rPr>
        <w:t>Da intelecção do disposto acima transcrito, verifica-se que</w:t>
      </w:r>
      <w:r w:rsidRPr="006D5437">
        <w:rPr>
          <w:rFonts w:ascii="Cambria" w:eastAsia="Times New Roman" w:hAnsi="Cambria" w:cs="Times New Roman"/>
          <w:shd w:val="clear" w:color="auto" w:fill="FFFFFF"/>
          <w:lang w:eastAsia="pt-BR"/>
        </w:rPr>
        <w:t xml:space="preserve"> </w:t>
      </w:r>
      <w:r w:rsidRPr="00D87F69">
        <w:rPr>
          <w:rFonts w:ascii="Cambria" w:eastAsia="Times New Roman" w:hAnsi="Cambria" w:cs="Times New Roman"/>
          <w:shd w:val="clear" w:color="auto" w:fill="FFFFFF"/>
          <w:lang w:eastAsia="pt-BR"/>
        </w:rPr>
        <w:t xml:space="preserve">a [LEI MUNICIPAL] </w:t>
      </w:r>
      <w:r w:rsidRPr="006D5437">
        <w:rPr>
          <w:rFonts w:ascii="Cambria" w:eastAsia="Times New Roman" w:hAnsi="Cambria" w:cs="Times New Roman"/>
          <w:shd w:val="clear" w:color="auto" w:fill="FFFFFF"/>
          <w:lang w:eastAsia="pt-BR"/>
        </w:rPr>
        <w:t>ignora que os únicos requisitos para a tributação fixa se encontram devidamente previstos no DL º 406/68 e exige outras condições para submissão a esse regime de tributação, a fim de desenquadrar certas sociedades dessa sistemática de tributação.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No entanto, em atenção aos preceitos constitucionais, </w:t>
      </w:r>
      <w:r w:rsidRPr="006D5437">
        <w:rPr>
          <w:rFonts w:ascii="Cambria" w:eastAsia="Times New Roman" w:hAnsi="Cambria" w:cs="Times New Roman"/>
          <w:u w:val="single"/>
          <w:shd w:val="clear" w:color="auto" w:fill="FFFFFF"/>
          <w:lang w:eastAsia="pt-BR"/>
        </w:rPr>
        <w:t>qualquer condição adicional para enquadramento no regime do ISS fixo apenas poderia ser instituída por lei complementar, uma vez que alteraria a definição da base de cálculo do imposto</w:t>
      </w:r>
      <w:r w:rsidRPr="006D5437">
        <w:rPr>
          <w:rFonts w:ascii="Cambria" w:eastAsia="Times New Roman" w:hAnsi="Cambria" w:cs="Times New Roman"/>
          <w:shd w:val="clear" w:color="auto" w:fill="FFFFFF"/>
          <w:lang w:eastAsia="pt-BR"/>
        </w:rPr>
        <w:t>. É o que determina o art. 143, II da Constituição Federal: </w:t>
      </w:r>
    </w:p>
    <w:p w:rsidR="001919B0" w:rsidRPr="006D5437" w:rsidRDefault="001919B0" w:rsidP="001919B0">
      <w:pPr>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 xml:space="preserve">Art. 146. Cabe à </w:t>
      </w:r>
      <w:r w:rsidRPr="006D5437">
        <w:rPr>
          <w:rFonts w:ascii="Cambria" w:eastAsia="Times New Roman" w:hAnsi="Cambria" w:cs="Times New Roman"/>
          <w:b/>
          <w:bCs/>
          <w:sz w:val="20"/>
          <w:szCs w:val="20"/>
          <w:u w:val="single"/>
          <w:shd w:val="clear" w:color="auto" w:fill="FFFFFF"/>
          <w:lang w:eastAsia="pt-BR"/>
        </w:rPr>
        <w:t>lei complementar</w:t>
      </w:r>
      <w:r w:rsidRPr="006D5437">
        <w:rPr>
          <w:rFonts w:ascii="Cambria" w:eastAsia="Times New Roman" w:hAnsi="Cambria" w:cs="Times New Roman"/>
          <w:sz w:val="20"/>
          <w:szCs w:val="20"/>
          <w:shd w:val="clear" w:color="auto" w:fill="FFFFFF"/>
          <w:lang w:eastAsia="pt-BR"/>
        </w:rPr>
        <w:t>:</w:t>
      </w:r>
    </w:p>
    <w:p w:rsidR="001919B0" w:rsidRPr="006D5437" w:rsidRDefault="001919B0" w:rsidP="001919B0">
      <w:pPr>
        <w:shd w:val="clear" w:color="auto" w:fill="FFFFFF"/>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III - </w:t>
      </w:r>
      <w:r w:rsidRPr="006D5437">
        <w:rPr>
          <w:rFonts w:ascii="Cambria" w:eastAsia="Times New Roman" w:hAnsi="Cambria" w:cs="Times New Roman"/>
          <w:b/>
          <w:bCs/>
          <w:sz w:val="20"/>
          <w:szCs w:val="20"/>
          <w:u w:val="single"/>
          <w:lang w:eastAsia="pt-BR"/>
        </w:rPr>
        <w:t>estabelecer normas gerais em matéria de legislação tributária</w:t>
      </w:r>
      <w:r w:rsidRPr="006D5437">
        <w:rPr>
          <w:rFonts w:ascii="Cambria" w:eastAsia="Times New Roman" w:hAnsi="Cambria" w:cs="Times New Roman"/>
          <w:sz w:val="20"/>
          <w:szCs w:val="20"/>
          <w:lang w:eastAsia="pt-BR"/>
        </w:rPr>
        <w:t>, especialmente sobre:</w:t>
      </w:r>
    </w:p>
    <w:p w:rsidR="001919B0" w:rsidRPr="006D5437" w:rsidRDefault="001919B0" w:rsidP="001919B0">
      <w:pPr>
        <w:shd w:val="clear" w:color="auto" w:fill="FFFFFF"/>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a) definição de tributos e de suas espécies, bem como, em relação aos impostos discriminados nesta Constituição, a dos respectivos fatos geradores, </w:t>
      </w:r>
      <w:r w:rsidRPr="006D5437">
        <w:rPr>
          <w:rFonts w:ascii="Cambria" w:eastAsia="Times New Roman" w:hAnsi="Cambria" w:cs="Times New Roman"/>
          <w:b/>
          <w:bCs/>
          <w:sz w:val="20"/>
          <w:szCs w:val="20"/>
          <w:u w:val="single"/>
          <w:lang w:eastAsia="pt-BR"/>
        </w:rPr>
        <w:t>bases de cálculo</w:t>
      </w:r>
      <w:r w:rsidRPr="006D5437">
        <w:rPr>
          <w:rFonts w:ascii="Cambria" w:eastAsia="Times New Roman" w:hAnsi="Cambria" w:cs="Times New Roman"/>
          <w:sz w:val="20"/>
          <w:szCs w:val="20"/>
          <w:lang w:eastAsia="pt-BR"/>
        </w:rPr>
        <w:t xml:space="preserve"> e contribuintes;</w:t>
      </w:r>
    </w:p>
    <w:p w:rsidR="001919B0" w:rsidRPr="006D5437" w:rsidRDefault="001919B0" w:rsidP="001919B0">
      <w:pPr>
        <w:shd w:val="clear" w:color="auto" w:fill="FFFFFF"/>
        <w:spacing w:after="0" w:line="240" w:lineRule="auto"/>
        <w:jc w:val="both"/>
        <w:rPr>
          <w:rFonts w:ascii="Times New Roman" w:eastAsia="Times New Roman" w:hAnsi="Times New Roman" w:cs="Times New Roman"/>
          <w:sz w:val="24"/>
          <w:szCs w:val="24"/>
          <w:lang w:eastAsia="pt-BR"/>
        </w:rPr>
      </w:pP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Dessa forma, é evidente que </w:t>
      </w:r>
      <w:r w:rsidRPr="006D5437">
        <w:rPr>
          <w:rFonts w:ascii="Cambria" w:eastAsia="Times New Roman" w:hAnsi="Cambria" w:cs="Times New Roman"/>
          <w:b/>
          <w:bCs/>
          <w:u w:val="single"/>
          <w:shd w:val="clear" w:color="auto" w:fill="FFFFFF"/>
          <w:lang w:eastAsia="pt-BR"/>
        </w:rPr>
        <w:t xml:space="preserve">o </w:t>
      </w:r>
      <w:r w:rsidRPr="00D87F69">
        <w:rPr>
          <w:rFonts w:ascii="Cambria" w:eastAsia="Times New Roman" w:hAnsi="Cambria" w:cs="Times New Roman"/>
          <w:b/>
          <w:bCs/>
          <w:u w:val="single"/>
          <w:shd w:val="clear" w:color="auto" w:fill="FFFFFF"/>
          <w:lang w:eastAsia="pt-BR"/>
        </w:rPr>
        <w:t>[MUNICÍPIO]</w:t>
      </w:r>
      <w:r w:rsidRPr="006D5437">
        <w:rPr>
          <w:rFonts w:ascii="Cambria" w:eastAsia="Times New Roman" w:hAnsi="Cambria" w:cs="Times New Roman"/>
          <w:b/>
          <w:bCs/>
          <w:u w:val="single"/>
          <w:shd w:val="clear" w:color="auto" w:fill="FFFFFF"/>
          <w:lang w:eastAsia="pt-BR"/>
        </w:rPr>
        <w:t xml:space="preserve"> realiza alteração na base de cálculo do ISS por meio de lei municipal, em flagrante afronta ao texto constitucional</w:t>
      </w:r>
      <w:r w:rsidRPr="006D5437">
        <w:rPr>
          <w:rFonts w:ascii="Cambria" w:eastAsia="Times New Roman" w:hAnsi="Cambria" w:cs="Times New Roman"/>
          <w:shd w:val="clear" w:color="auto" w:fill="FFFFFF"/>
          <w:lang w:eastAsia="pt-BR"/>
        </w:rPr>
        <w:t>, que determina que base de cálculo de tributo apenas poderá ser alterada por Lei Complementar. Evidencia-se, deste modo, a impossibilidade de lei municipal de ISS dispor de modo diverso a respeito da base de cálculo de referido imposto, sob pena de ferir princípio basilar de nosso Sistema Constitucional Tributário.</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Somado a isso, </w:t>
      </w:r>
      <w:r w:rsidRPr="006D5437">
        <w:rPr>
          <w:rFonts w:ascii="Cambria" w:eastAsia="Times New Roman" w:hAnsi="Cambria" w:cs="Times New Roman"/>
          <w:u w:val="single"/>
          <w:shd w:val="clear" w:color="auto" w:fill="FFFFFF"/>
          <w:lang w:eastAsia="pt-BR"/>
        </w:rPr>
        <w:t>no que tange especialmente ao ISS, a Constituição é clara ao determinar que apenas a lei complementar poderá regular a forma de condições de incentivos e benefícios fiscais</w:t>
      </w:r>
      <w:r w:rsidRPr="006D5437">
        <w:rPr>
          <w:rFonts w:ascii="Cambria" w:eastAsia="Times New Roman" w:hAnsi="Cambria" w:cs="Times New Roman"/>
          <w:shd w:val="clear" w:color="auto" w:fill="FFFFFF"/>
          <w:lang w:eastAsia="pt-BR"/>
        </w:rPr>
        <w:t>, como é o caso do regime do ISS fixo, conforme vejamos: </w:t>
      </w:r>
    </w:p>
    <w:p w:rsidR="001919B0" w:rsidRPr="006D5437" w:rsidRDefault="001919B0" w:rsidP="001919B0">
      <w:pPr>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Art. 156. Compete aos Municípios instituir impostos sobre:</w:t>
      </w:r>
    </w:p>
    <w:p w:rsidR="001919B0" w:rsidRPr="006D5437" w:rsidRDefault="001919B0" w:rsidP="001919B0">
      <w:pPr>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III - serviços de qualquer natureza, não compreendidos no art. 155, II, definidos em lei complementar.</w:t>
      </w:r>
    </w:p>
    <w:p w:rsidR="001919B0" w:rsidRPr="006D5437" w:rsidRDefault="001919B0" w:rsidP="001919B0">
      <w:pPr>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 3º Em relação ao imposto previsto no inciso III do </w:t>
      </w:r>
      <w:r w:rsidRPr="006D5437">
        <w:rPr>
          <w:rFonts w:ascii="Cambria" w:eastAsia="Times New Roman" w:hAnsi="Cambria" w:cs="Times New Roman"/>
          <w:i/>
          <w:iCs/>
          <w:sz w:val="20"/>
          <w:szCs w:val="20"/>
          <w:shd w:val="clear" w:color="auto" w:fill="FFFFFF"/>
          <w:lang w:eastAsia="pt-BR"/>
        </w:rPr>
        <w:t>caput </w:t>
      </w:r>
      <w:r w:rsidRPr="006D5437">
        <w:rPr>
          <w:rFonts w:ascii="Cambria" w:eastAsia="Times New Roman" w:hAnsi="Cambria" w:cs="Times New Roman"/>
          <w:sz w:val="20"/>
          <w:szCs w:val="20"/>
          <w:shd w:val="clear" w:color="auto" w:fill="FFFFFF"/>
          <w:lang w:eastAsia="pt-BR"/>
        </w:rPr>
        <w:t xml:space="preserve">deste artigo, </w:t>
      </w:r>
      <w:r w:rsidRPr="006D5437">
        <w:rPr>
          <w:rFonts w:ascii="Cambria" w:eastAsia="Times New Roman" w:hAnsi="Cambria" w:cs="Times New Roman"/>
          <w:b/>
          <w:bCs/>
          <w:sz w:val="20"/>
          <w:szCs w:val="20"/>
          <w:u w:val="single"/>
          <w:shd w:val="clear" w:color="auto" w:fill="FFFFFF"/>
          <w:lang w:eastAsia="pt-BR"/>
        </w:rPr>
        <w:t>cabe à lei complementar</w:t>
      </w:r>
      <w:r w:rsidRPr="006D5437">
        <w:rPr>
          <w:rFonts w:ascii="Cambria" w:eastAsia="Times New Roman" w:hAnsi="Cambria" w:cs="Times New Roman"/>
          <w:sz w:val="20"/>
          <w:szCs w:val="20"/>
          <w:shd w:val="clear" w:color="auto" w:fill="FFFFFF"/>
          <w:lang w:eastAsia="pt-BR"/>
        </w:rPr>
        <w:t>: </w:t>
      </w:r>
    </w:p>
    <w:p w:rsidR="001919B0" w:rsidRPr="006D5437" w:rsidRDefault="001919B0" w:rsidP="001919B0">
      <w:pPr>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 xml:space="preserve">III - </w:t>
      </w:r>
      <w:r w:rsidRPr="006D5437">
        <w:rPr>
          <w:rFonts w:ascii="Cambria" w:eastAsia="Times New Roman" w:hAnsi="Cambria" w:cs="Times New Roman"/>
          <w:b/>
          <w:bCs/>
          <w:sz w:val="20"/>
          <w:szCs w:val="20"/>
          <w:u w:val="single"/>
          <w:shd w:val="clear" w:color="auto" w:fill="FFFFFF"/>
          <w:lang w:eastAsia="pt-BR"/>
        </w:rPr>
        <w:t>regular a forma e as condições como isenções, incentivos e benefícios fiscais serão concedidos e revogados</w:t>
      </w:r>
      <w:r w:rsidRPr="006D5437">
        <w:rPr>
          <w:rFonts w:ascii="Cambria" w:eastAsia="Times New Roman" w:hAnsi="Cambria" w:cs="Times New Roman"/>
          <w:sz w:val="20"/>
          <w:szCs w:val="20"/>
          <w:shd w:val="clear" w:color="auto" w:fill="FFFFFF"/>
          <w:lang w:eastAsia="pt-BR"/>
        </w:rPr>
        <w:t>. </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Isto posto, resta nítido que </w:t>
      </w:r>
      <w:r w:rsidRPr="006D5437">
        <w:rPr>
          <w:rFonts w:ascii="Cambria" w:eastAsia="Times New Roman" w:hAnsi="Cambria" w:cs="Times New Roman"/>
          <w:b/>
          <w:bCs/>
          <w:u w:val="single"/>
          <w:shd w:val="clear" w:color="auto" w:fill="FFFFFF"/>
          <w:lang w:eastAsia="pt-BR"/>
        </w:rPr>
        <w:t xml:space="preserve">a alteração dos requisitos para enquadramento no regime do ISS fixo, benéfico destinado aos profissionais liberais e </w:t>
      </w:r>
      <w:r w:rsidRPr="006D5437">
        <w:rPr>
          <w:rFonts w:ascii="Cambria" w:eastAsia="Times New Roman" w:hAnsi="Cambria" w:cs="Times New Roman"/>
          <w:b/>
          <w:bCs/>
          <w:u w:val="single"/>
          <w:shd w:val="clear" w:color="auto" w:fill="FFFFFF"/>
          <w:lang w:eastAsia="pt-BR"/>
        </w:rPr>
        <w:lastRenderedPageBreak/>
        <w:t>às sociedades uniprofissionais, não poderia ter sido realizada por lei municipal</w:t>
      </w:r>
      <w:r w:rsidRPr="006D5437">
        <w:rPr>
          <w:rFonts w:ascii="Cambria" w:eastAsia="Times New Roman" w:hAnsi="Cambria" w:cs="Times New Roman"/>
          <w:shd w:val="clear" w:color="auto" w:fill="FFFFFF"/>
          <w:lang w:eastAsia="pt-BR"/>
        </w:rPr>
        <w:t>, nos termos do art. 156, § 3º, III, da Constituição Federal.  Como bem entende o Tribunal de Justiça do Paraná:</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TRIBUTÁRIO. REEXAME NECESSÁRIO. MANDADO DE SEGURANÇA. </w:t>
      </w:r>
      <w:r w:rsidRPr="006D5437">
        <w:rPr>
          <w:rFonts w:ascii="Cambria" w:eastAsia="Times New Roman" w:hAnsi="Cambria" w:cs="Times New Roman"/>
          <w:b/>
          <w:bCs/>
          <w:sz w:val="20"/>
          <w:szCs w:val="20"/>
          <w:u w:val="single"/>
          <w:lang w:eastAsia="pt-BR"/>
        </w:rPr>
        <w:t>ISS-FIXO. SOCIEDADE UNIPROFISSIONAL DE MÉDICOS</w:t>
      </w:r>
      <w:r w:rsidRPr="006D5437">
        <w:rPr>
          <w:rFonts w:ascii="Cambria" w:eastAsia="Times New Roman" w:hAnsi="Cambria" w:cs="Times New Roman"/>
          <w:sz w:val="20"/>
          <w:szCs w:val="20"/>
          <w:lang w:eastAsia="pt-BR"/>
        </w:rPr>
        <w:t xml:space="preserve">. PRETENSÃO DE RECOLHIMENTO DE ISS FIXO QUE FOI RECONHECIDA. LEI MUNICIPAL 13.070/2018 QUE EXTRAPOLOU A SUA LEGITIMIDADE AO REVOGAR OS PARÁGRAFOS 6º E 9º DO ARTIGO 13 DA LEI MUNICIPAL 7.500/2004 QUE PREVIA O RECOLHIMENTO DE ISS FIXO PARA OS PROFISSIONAIS LIBERAIS E SOCIEDADES UNIPROFISSIONAIS. </w:t>
      </w:r>
      <w:r w:rsidRPr="006D5437">
        <w:rPr>
          <w:rFonts w:ascii="Cambria" w:eastAsia="Times New Roman" w:hAnsi="Cambria" w:cs="Times New Roman"/>
          <w:b/>
          <w:bCs/>
          <w:sz w:val="20"/>
          <w:szCs w:val="20"/>
          <w:u w:val="single"/>
          <w:lang w:eastAsia="pt-BR"/>
        </w:rPr>
        <w:t>REGIME DE TRIBUTAÇÃO FIXA INSTITUÍDO PELO DECRETO-LEI 406/68 QUE DEVE SER OBSERVADO, POIS RECEPCIONADO PELA CONSTITUIÇÃO FEDERAL.</w:t>
      </w:r>
      <w:r w:rsidRPr="006D5437">
        <w:rPr>
          <w:rFonts w:ascii="Cambria" w:eastAsia="Times New Roman" w:hAnsi="Cambria" w:cs="Times New Roman"/>
          <w:sz w:val="20"/>
          <w:szCs w:val="20"/>
          <w:lang w:eastAsia="pt-BR"/>
        </w:rPr>
        <w:t xml:space="preserve"> PRECEDENTES DESTA CORTE. SENTENÇA MANTIDA EM REEXAME NECESSÁRIO. (TJPR - 2ª C. Cível - 0009007-74.2019.8.16.0019 - Ponta Grossa - Rel.: Desembargador Silvio Dias - J. 11.12.2019) (</w:t>
      </w:r>
      <w:r w:rsidRPr="006D5437">
        <w:rPr>
          <w:rFonts w:ascii="Cambria" w:eastAsia="Times New Roman" w:hAnsi="Cambria" w:cs="Times New Roman"/>
          <w:b/>
          <w:bCs/>
          <w:sz w:val="20"/>
          <w:szCs w:val="20"/>
          <w:lang w:eastAsia="pt-BR"/>
        </w:rPr>
        <w:t>TJ-PR</w:t>
      </w:r>
      <w:r w:rsidRPr="006D5437">
        <w:rPr>
          <w:rFonts w:ascii="Cambria" w:eastAsia="Times New Roman" w:hAnsi="Cambria" w:cs="Times New Roman"/>
          <w:sz w:val="20"/>
          <w:szCs w:val="20"/>
          <w:lang w:eastAsia="pt-BR"/>
        </w:rPr>
        <w:t xml:space="preserve"> - REEX: 00090077420198160019 PR 0009007-74.2019.8.16.0019 (Acórdão), Relator: Desembargador Silvio Dias, </w:t>
      </w:r>
      <w:r w:rsidRPr="006D5437">
        <w:rPr>
          <w:rFonts w:ascii="Cambria" w:eastAsia="Times New Roman" w:hAnsi="Cambria" w:cs="Times New Roman"/>
          <w:i/>
          <w:iCs/>
          <w:sz w:val="20"/>
          <w:szCs w:val="20"/>
          <w:lang w:eastAsia="pt-BR"/>
        </w:rPr>
        <w:t>Data de Julgamento: 11/12/2019</w:t>
      </w:r>
      <w:r w:rsidRPr="006D5437">
        <w:rPr>
          <w:rFonts w:ascii="Cambria" w:eastAsia="Times New Roman" w:hAnsi="Cambria" w:cs="Times New Roman"/>
          <w:sz w:val="20"/>
          <w:szCs w:val="20"/>
          <w:lang w:eastAsia="pt-BR"/>
        </w:rPr>
        <w:t>, 2ª Câmara Cível, Data de Publicação: 13/12/2019)</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Assim sendo, qualquer requisito adicional previsto apenas em lei municipal constitui alteração da base de cálculo do ISS e regulação da concessão de benefício fiscal, e justamente por isso, revestem-se de caráter manifestamente inconstitucional. </w:t>
      </w:r>
      <w:r w:rsidRPr="006D5437">
        <w:rPr>
          <w:rFonts w:ascii="Cambria" w:eastAsia="Times New Roman" w:hAnsi="Cambria" w:cs="Times New Roman"/>
          <w:u w:val="single"/>
          <w:shd w:val="clear" w:color="auto" w:fill="FFFFFF"/>
          <w:lang w:eastAsia="pt-BR"/>
        </w:rPr>
        <w:t>É veemente a impossibilidade de os municípios legislarem acerca da base de cálculo e benefícios relacionados ao ISS, no que concerne à criação de restrições para o enquadramento de sociedades uniprofissionais médicas no regime fixo de tributação</w:t>
      </w:r>
      <w:r w:rsidRPr="006D5437">
        <w:rPr>
          <w:rFonts w:ascii="Cambria" w:eastAsia="Times New Roman" w:hAnsi="Cambria" w:cs="Times New Roman"/>
          <w:shd w:val="clear" w:color="auto" w:fill="FFFFFF"/>
          <w:lang w:eastAsia="pt-BR"/>
        </w:rPr>
        <w:t>.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Em atenção a todo o exposto, o Supremo Tribunal Federal, ao apreciar o Recurso Extraordinário nº 940.769, sob a sistemática da repercussão geral, entendeu que são inconstitucionais as medidas municipais que impedem, obstam, criam empecilhos ou regras que inviabilizam às sociedades de profissionais de recolherem o ISS na forma especial, isto é, recolhimento fixo com base no número de profissionais habilitados para aquelas atividades intelectuais, e não mais com base no faturamento:</w:t>
      </w:r>
    </w:p>
    <w:p w:rsidR="001919B0" w:rsidRDefault="001919B0" w:rsidP="001919B0">
      <w:pPr>
        <w:spacing w:line="240" w:lineRule="auto"/>
        <w:ind w:left="2268"/>
        <w:jc w:val="both"/>
        <w:rPr>
          <w:rFonts w:ascii="Cambria" w:eastAsia="Times New Roman" w:hAnsi="Cambria" w:cs="Times New Roman"/>
          <w:b/>
          <w:bCs/>
          <w:sz w:val="20"/>
          <w:szCs w:val="20"/>
          <w:u w:val="single"/>
          <w:lang w:eastAsia="pt-BR"/>
        </w:rPr>
      </w:pPr>
      <w:r w:rsidRPr="006D5437">
        <w:rPr>
          <w:rFonts w:ascii="Cambria" w:eastAsia="Times New Roman" w:hAnsi="Cambria" w:cs="Times New Roman"/>
          <w:sz w:val="20"/>
          <w:szCs w:val="20"/>
          <w:lang w:eastAsia="pt-BR"/>
        </w:rPr>
        <w:t xml:space="preserve">RECURSO EXTRAORDINÁRIO. REPERCUSSÃO GERAL. DIREITO TRIBUTÁRIO. </w:t>
      </w:r>
      <w:r w:rsidRPr="006D5437">
        <w:rPr>
          <w:rFonts w:ascii="Cambria" w:eastAsia="Times New Roman" w:hAnsi="Cambria" w:cs="Times New Roman"/>
          <w:b/>
          <w:bCs/>
          <w:sz w:val="20"/>
          <w:szCs w:val="20"/>
          <w:u w:val="single"/>
          <w:lang w:eastAsia="pt-BR"/>
        </w:rPr>
        <w:t>IMPOSTO SOBRE SERVIÇOS DE QUALQUER NATUREZA – ISSQN. BASE DE CÁLCULO. LEI COMPLEMENTAR NACIONAL. SOCIEDADE DE PROFISSIONAIS.</w:t>
      </w:r>
      <w:r w:rsidRPr="006D5437">
        <w:rPr>
          <w:rFonts w:ascii="Cambria" w:eastAsia="Times New Roman" w:hAnsi="Cambria" w:cs="Times New Roman"/>
          <w:b/>
          <w:bCs/>
          <w:sz w:val="20"/>
          <w:szCs w:val="20"/>
          <w:lang w:eastAsia="pt-BR"/>
        </w:rPr>
        <w:t xml:space="preserve"> </w:t>
      </w:r>
      <w:r w:rsidRPr="006D5437">
        <w:rPr>
          <w:rFonts w:ascii="Cambria" w:eastAsia="Times New Roman" w:hAnsi="Cambria" w:cs="Times New Roman"/>
          <w:sz w:val="20"/>
          <w:szCs w:val="20"/>
          <w:lang w:eastAsia="pt-BR"/>
        </w:rPr>
        <w:t xml:space="preserve">ADVOGADOS. COMPETÊNCIA TRIBUTÁRIA DE MUNICÍPIO. REGIME DE TRIBUTAÇÃO FIXA. NATUREZA DO SERVIÇO. REMUNERAÇÃO DO LABOR. DECRETO-LEI 405-1968. RECEPÇÃO. LEI COMPLEMENTAR 7/1973 DO MUNICÍPIO DE PORTO ALEGRE. </w:t>
      </w:r>
      <w:r w:rsidRPr="006D5437">
        <w:rPr>
          <w:rFonts w:ascii="Cambria" w:eastAsia="Times New Roman" w:hAnsi="Cambria" w:cs="Times New Roman"/>
          <w:b/>
          <w:bCs/>
          <w:sz w:val="20"/>
          <w:szCs w:val="20"/>
          <w:u w:val="single"/>
          <w:lang w:eastAsia="pt-BR"/>
        </w:rPr>
        <w:t>CONFLITO LEGISLATIVO</w:t>
      </w:r>
      <w:r w:rsidRPr="006D5437">
        <w:rPr>
          <w:rFonts w:ascii="Cambria" w:eastAsia="Times New Roman" w:hAnsi="Cambria" w:cs="Times New Roman"/>
          <w:sz w:val="20"/>
          <w:szCs w:val="20"/>
          <w:lang w:eastAsia="pt-BR"/>
        </w:rPr>
        <w:t>. ISONOMIA TRIBUTÁRIA. 1</w:t>
      </w:r>
      <w:r w:rsidRPr="006D5437">
        <w:rPr>
          <w:rFonts w:ascii="Cambria" w:eastAsia="Times New Roman" w:hAnsi="Cambria" w:cs="Times New Roman"/>
          <w:b/>
          <w:bCs/>
          <w:sz w:val="20"/>
          <w:szCs w:val="20"/>
          <w:u w:val="single"/>
          <w:lang w:eastAsia="pt-BR"/>
        </w:rPr>
        <w:t>. A jurisprudência do STF se firmou no sentido da recepção do Decreto-Lei 406/1968 pela ordem constitucional vigente com status de lei complementar nacional, assim como pela compatibilidade material da prevalência do cálculo do imposto por meio de alíquotas fixas, com base na natureza do serviço, não compreendendo a importância paga a título de remuneração do próprio labor</w:t>
      </w:r>
      <w:r w:rsidRPr="006D5437">
        <w:rPr>
          <w:rFonts w:ascii="Cambria" w:eastAsia="Times New Roman" w:hAnsi="Cambria" w:cs="Times New Roman"/>
          <w:sz w:val="20"/>
          <w:szCs w:val="20"/>
          <w:lang w:eastAsia="pt-BR"/>
        </w:rPr>
        <w:t xml:space="preserve">. Precedente: RE 220.323, de relatoria do Ministro Carlos Velloso, Tribunal Pleno, DJ 18.05.2001. 2. </w:t>
      </w:r>
      <w:r w:rsidRPr="006D5437">
        <w:rPr>
          <w:rFonts w:ascii="Cambria" w:eastAsia="Times New Roman" w:hAnsi="Cambria" w:cs="Times New Roman"/>
          <w:b/>
          <w:bCs/>
          <w:sz w:val="20"/>
          <w:szCs w:val="20"/>
          <w:u w:val="single"/>
          <w:lang w:eastAsia="pt-BR"/>
        </w:rPr>
        <w:t>É inconstitucional lei municipal que disponha de modo divergente ao DL 46/1968 sobre base de cálculo do ISSQN, por ofensa direta ao art. 146, III, “a”, da Constituição da República</w:t>
      </w:r>
      <w:r w:rsidRPr="006D5437">
        <w:rPr>
          <w:rFonts w:ascii="Cambria" w:eastAsia="Times New Roman" w:hAnsi="Cambria" w:cs="Times New Roman"/>
          <w:sz w:val="20"/>
          <w:szCs w:val="20"/>
          <w:lang w:eastAsia="pt-BR"/>
        </w:rPr>
        <w:t xml:space="preserve">. 3. Reduziu-se o âmbito de incidência e contrariou-se o comando da norma prevista no art. 9º, §§1º e 3º, do Decreto-Lei 406/1968, por meio do código tributário porto-alegrense. Logo, </w:t>
      </w:r>
      <w:r w:rsidRPr="006D5437">
        <w:rPr>
          <w:rFonts w:ascii="Cambria" w:eastAsia="Times New Roman" w:hAnsi="Cambria" w:cs="Times New Roman"/>
          <w:b/>
          <w:bCs/>
          <w:sz w:val="20"/>
          <w:szCs w:val="20"/>
          <w:u w:val="single"/>
          <w:lang w:eastAsia="pt-BR"/>
        </w:rPr>
        <w:t xml:space="preserve">há inconstitucionalidade formal em razão da inadequação de instrumento legislativo editado por ente federativo incompetente, nos termos do art. 146, III, “a”, do Texto </w:t>
      </w:r>
    </w:p>
    <w:p w:rsidR="001919B0" w:rsidRDefault="001919B0" w:rsidP="001919B0">
      <w:pPr>
        <w:spacing w:line="240" w:lineRule="auto"/>
        <w:ind w:left="2268"/>
        <w:jc w:val="both"/>
        <w:rPr>
          <w:rFonts w:ascii="Cambria" w:eastAsia="Times New Roman" w:hAnsi="Cambria" w:cs="Times New Roman"/>
          <w:b/>
          <w:bCs/>
          <w:sz w:val="20"/>
          <w:szCs w:val="20"/>
          <w:u w:val="single"/>
          <w:lang w:eastAsia="pt-BR"/>
        </w:rPr>
      </w:pP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b/>
          <w:bCs/>
          <w:sz w:val="20"/>
          <w:szCs w:val="20"/>
          <w:u w:val="single"/>
          <w:lang w:eastAsia="pt-BR"/>
        </w:rPr>
        <w:t>Constitucional</w:t>
      </w:r>
      <w:r w:rsidRPr="006D5437">
        <w:rPr>
          <w:rFonts w:ascii="Cambria" w:eastAsia="Times New Roman" w:hAnsi="Cambria" w:cs="Times New Roman"/>
          <w:sz w:val="20"/>
          <w:szCs w:val="20"/>
          <w:lang w:eastAsia="pt-BR"/>
        </w:rPr>
        <w:t xml:space="preserve">. 4. Fixação de Tese jurídica ao Tema 918 da sistemática da repercussão geral: </w:t>
      </w:r>
      <w:r w:rsidRPr="006D5437">
        <w:rPr>
          <w:rFonts w:ascii="Cambria" w:eastAsia="Times New Roman" w:hAnsi="Cambria" w:cs="Times New Roman"/>
          <w:b/>
          <w:bCs/>
          <w:sz w:val="20"/>
          <w:szCs w:val="20"/>
          <w:u w:val="single"/>
          <w:lang w:eastAsia="pt-BR"/>
        </w:rPr>
        <w:t>“É inconstitucional lei municipal que estabelece impeditivos à submissão de sociedades profissionais de advogados ao regime de tributação fixa em bases anuais na forma estabelecida por lei nacional</w:t>
      </w:r>
      <w:r w:rsidRPr="006D5437">
        <w:rPr>
          <w:rFonts w:ascii="Cambria" w:eastAsia="Times New Roman" w:hAnsi="Cambria" w:cs="Times New Roman"/>
          <w:sz w:val="20"/>
          <w:szCs w:val="20"/>
          <w:lang w:eastAsia="pt-BR"/>
        </w:rPr>
        <w:t>. ” 5. Recurso extraordinário a que dá provimento, com a declaração incidental de inconstitucionalidade dos arts. 20, §4º, II, da Lei Complementar 7/73, e 49, IV, §§3º e 4º, do Decreto 15.416/2006, ambos editados pelo Município de Porto Alegre.</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Da leitura do referido julgado, compreende-se que a lei municipal de Porto Alegre foi considerada inconstitucional pelo Supremo Tribunal Federal por dispor de modo divergente do DL nº 406/68 sobre a base de cálculo do ISS, ofendendo diretamente ao art. 146, III, “a” da Constituição Federal.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É dizer, foi declarada a </w:t>
      </w:r>
      <w:r w:rsidRPr="006D5437">
        <w:rPr>
          <w:rFonts w:ascii="Cambria" w:eastAsia="Times New Roman" w:hAnsi="Cambria" w:cs="Times New Roman"/>
          <w:u w:val="single"/>
          <w:lang w:eastAsia="pt-BR"/>
        </w:rPr>
        <w:t>inconstitucionalidade formal do referido dispositivo legal, por conta da incompetência legislativa do ente federativo, em nítida transgressão à Constituição Federal, que é clara ao exigir lei complementar para regulamentar normas gerais em matéria de legislação tributária, especialmente no que se refere à base de cálculo de tributos</w:t>
      </w:r>
      <w:r w:rsidRPr="006D5437">
        <w:rPr>
          <w:rFonts w:ascii="Cambria" w:eastAsia="Times New Roman" w:hAnsi="Cambria" w:cs="Times New Roman"/>
          <w:lang w:eastAsia="pt-BR"/>
        </w:rPr>
        <w:t>.  </w:t>
      </w:r>
    </w:p>
    <w:p w:rsidR="001919B0" w:rsidRDefault="001919B0" w:rsidP="001919B0">
      <w:pPr>
        <w:spacing w:line="240" w:lineRule="auto"/>
        <w:ind w:firstLine="2268"/>
        <w:jc w:val="both"/>
        <w:rPr>
          <w:rFonts w:ascii="Cambria" w:eastAsia="Times New Roman" w:hAnsi="Cambria" w:cs="Times New Roman"/>
          <w:lang w:eastAsia="pt-BR"/>
        </w:rPr>
      </w:pPr>
      <w:r w:rsidRPr="006D5437">
        <w:rPr>
          <w:rFonts w:ascii="Cambria" w:eastAsia="Times New Roman" w:hAnsi="Cambria" w:cs="Times New Roman"/>
          <w:lang w:eastAsia="pt-BR"/>
        </w:rPr>
        <w:t>Esse raciocínio jurídico é perfeitamente aplicável ao caso em questão, já que, da mesma forma, há lei municipal que restringe o alcance de Decreto-Lei Federal que possui status de lei complementar. Ora, a única divergência entre o caso dos autos e o mencionado Recurso Extraordinário é o gênero da prestação dos serviços intelectuais, em um a medicina, e noutro, a advocacia.</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Pr>
          <w:rFonts w:ascii="Cambria" w:eastAsia="Times New Roman" w:hAnsi="Cambria" w:cs="Times New Roman"/>
          <w:lang w:eastAsia="pt-BR"/>
        </w:rPr>
        <w:t>Assim sendo, resta claro, nos presentes autos, que a atuação do ente municipal está eivada de vícios, na medida em que revela-se claro recurso criado unicamente para dificultar a fruição do ISS fixo por parte das sociedades sediadas em seu território que à ele fazem jus.</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p>
    <w:p w:rsidR="001919B0" w:rsidRPr="006D5437" w:rsidRDefault="001919B0" w:rsidP="001919B0">
      <w:pPr>
        <w:numPr>
          <w:ilvl w:val="0"/>
          <w:numId w:val="5"/>
        </w:numPr>
        <w:spacing w:line="240" w:lineRule="auto"/>
        <w:ind w:left="2912"/>
        <w:jc w:val="both"/>
        <w:textAlignment w:val="baseline"/>
        <w:rPr>
          <w:rFonts w:ascii="Cambria" w:eastAsia="Times New Roman" w:hAnsi="Cambria" w:cs="Times New Roman"/>
          <w:b/>
          <w:bCs/>
          <w:lang w:eastAsia="pt-BR"/>
        </w:rPr>
      </w:pPr>
      <w:r w:rsidRPr="006D5437">
        <w:rPr>
          <w:rFonts w:ascii="Cambria" w:eastAsia="Times New Roman" w:hAnsi="Cambria" w:cs="Times New Roman"/>
          <w:b/>
          <w:bCs/>
          <w:shd w:val="clear" w:color="auto" w:fill="FFFFFF"/>
          <w:lang w:eastAsia="pt-BR"/>
        </w:rPr>
        <w:t>Da perfeita adequação da Impetrante no enquadramento do regime de ISS fixo, previsto pelo art. 9, § 3º do DL 406/1968.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Conforme exposto anteriormente, os requisitos que de fato são válidos para o enquadramento das sociedades uniprofissionais no regime de tributação do ISS fixo são aqueles previstos em lei complementar, qual seja, o Decreto Lei nº 406/68.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À vista disso, oportuno demonstrar o cumprimento de tais exigências pela Impetrante, especialmente no que se refere à especialização e individualização na prestação de seus serviços e a responsabilização direta dos seus sócios, em oposição à rigidez na forma de organização da sociedade, que, rigorosamente, não é exigível. </w:t>
      </w:r>
    </w:p>
    <w:p w:rsidR="001919B0" w:rsidRPr="006D5437" w:rsidRDefault="001919B0" w:rsidP="001919B0">
      <w:pPr>
        <w:numPr>
          <w:ilvl w:val="0"/>
          <w:numId w:val="6"/>
        </w:numPr>
        <w:spacing w:line="240" w:lineRule="auto"/>
        <w:ind w:left="3479"/>
        <w:jc w:val="both"/>
        <w:textAlignment w:val="baseline"/>
        <w:rPr>
          <w:rFonts w:ascii="Cambria" w:eastAsia="Times New Roman" w:hAnsi="Cambria" w:cs="Times New Roman"/>
          <w:b/>
          <w:bCs/>
          <w:lang w:eastAsia="pt-BR"/>
        </w:rPr>
      </w:pPr>
      <w:r w:rsidRPr="006D5437">
        <w:rPr>
          <w:rFonts w:ascii="Cambria" w:eastAsia="Times New Roman" w:hAnsi="Cambria" w:cs="Times New Roman"/>
          <w:b/>
          <w:bCs/>
          <w:shd w:val="clear" w:color="auto" w:fill="FFFFFF"/>
          <w:lang w:eastAsia="pt-BR"/>
        </w:rPr>
        <w:t>A natureza especializada e individualizada dos serviços prestados pela Impetrante.</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Considerando o objeto social da Impetrante, entende-se que, pela própria natureza das atividades oferecidas, o serviço prestado é especializado e individual, uma vez que </w:t>
      </w:r>
      <w:r w:rsidRPr="006D5437">
        <w:rPr>
          <w:rFonts w:ascii="Cambria" w:eastAsia="Times New Roman" w:hAnsi="Cambria" w:cs="Times New Roman"/>
          <w:u w:val="single"/>
          <w:shd w:val="clear" w:color="auto" w:fill="FFFFFF"/>
          <w:lang w:eastAsia="pt-BR"/>
        </w:rPr>
        <w:t xml:space="preserve">os pacientes da clínica se consultam com os médicos </w:t>
      </w:r>
      <w:r w:rsidRPr="006D5437">
        <w:rPr>
          <w:rFonts w:ascii="Cambria" w:eastAsia="Times New Roman" w:hAnsi="Cambria" w:cs="Times New Roman"/>
          <w:i/>
          <w:iCs/>
          <w:u w:val="single"/>
          <w:shd w:val="clear" w:color="auto" w:fill="FFFFFF"/>
          <w:lang w:eastAsia="pt-BR"/>
        </w:rPr>
        <w:t>intitu personae</w:t>
      </w:r>
      <w:r w:rsidRPr="006D5437">
        <w:rPr>
          <w:rFonts w:ascii="Cambria" w:eastAsia="Times New Roman" w:hAnsi="Cambria" w:cs="Times New Roman"/>
          <w:u w:val="single"/>
          <w:shd w:val="clear" w:color="auto" w:fill="FFFFFF"/>
          <w:lang w:eastAsia="pt-BR"/>
        </w:rPr>
        <w:t xml:space="preserve">. Ou seja, não existe procura da instituição prestadora dos serviços de forma independente, sempre </w:t>
      </w:r>
      <w:r w:rsidRPr="006D5437">
        <w:rPr>
          <w:rFonts w:ascii="Cambria" w:eastAsia="Times New Roman" w:hAnsi="Cambria" w:cs="Times New Roman"/>
          <w:u w:val="single"/>
          <w:shd w:val="clear" w:color="auto" w:fill="FFFFFF"/>
          <w:lang w:eastAsia="pt-BR"/>
        </w:rPr>
        <w:lastRenderedPageBreak/>
        <w:t>há ligação entre o paciente e o médico, que acompanha o tratamento realizado, de forma individualizada e personalíssima</w:t>
      </w:r>
      <w:r w:rsidRPr="006D5437">
        <w:rPr>
          <w:rFonts w:ascii="Cambria" w:eastAsia="Times New Roman" w:hAnsi="Cambria" w:cs="Times New Roman"/>
          <w:shd w:val="clear" w:color="auto" w:fill="FFFFFF"/>
          <w:lang w:eastAsia="pt-BR"/>
        </w:rPr>
        <w:t>.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Outrossim, </w:t>
      </w:r>
      <w:r w:rsidRPr="006D5437">
        <w:rPr>
          <w:rFonts w:ascii="Cambria" w:eastAsia="Times New Roman" w:hAnsi="Cambria" w:cs="Times New Roman"/>
          <w:lang w:eastAsia="pt-BR"/>
        </w:rPr>
        <w:t>a Resolução CFM nº 1.931, de 17 de setembro de 2009, que institui o Código de Ética Médica, esclarece em seu Capitulo I, nos incisos VII, XIX, XX, a forma do exercício profissional da medicina: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“VII - </w:t>
      </w:r>
      <w:r w:rsidRPr="006D5437">
        <w:rPr>
          <w:rFonts w:ascii="Cambria" w:eastAsia="Times New Roman" w:hAnsi="Cambria" w:cs="Times New Roman"/>
          <w:sz w:val="20"/>
          <w:szCs w:val="20"/>
          <w:u w:val="single"/>
          <w:lang w:eastAsia="pt-BR"/>
        </w:rPr>
        <w:t>O médico exercerá sua profissão com autonomia</w:t>
      </w:r>
      <w:r w:rsidRPr="006D5437">
        <w:rPr>
          <w:rFonts w:ascii="Cambria" w:eastAsia="Times New Roman" w:hAnsi="Cambria" w:cs="Times New Roman"/>
          <w:sz w:val="20"/>
          <w:szCs w:val="20"/>
          <w:lang w:eastAsia="pt-BR"/>
        </w:rPr>
        <w:t>, não sendo obrigado a prestar serviços que contrariem os ditames de sua consciência ou a quem não deseje, excetuadas as situações de ausência de outro médico, em caso de urgência ou emergência, ou quando sua recusa possa trazer danos à saúde do paciente</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XIX - </w:t>
      </w:r>
      <w:r w:rsidRPr="006D5437">
        <w:rPr>
          <w:rFonts w:ascii="Cambria" w:eastAsia="Times New Roman" w:hAnsi="Cambria" w:cs="Times New Roman"/>
          <w:b/>
          <w:bCs/>
          <w:sz w:val="20"/>
          <w:szCs w:val="20"/>
          <w:u w:val="single"/>
          <w:lang w:eastAsia="pt-BR"/>
        </w:rPr>
        <w:t>O médico se responsabilizará, em caráter pessoal e nunca presumido, pelos seus atos profissionais, resultantes de relação particular de confiança e executados com diligência, competência e prudência.</w:t>
      </w:r>
      <w:r w:rsidRPr="006D5437">
        <w:rPr>
          <w:rFonts w:ascii="Cambria" w:eastAsia="Times New Roman" w:hAnsi="Cambria" w:cs="Times New Roman"/>
          <w:sz w:val="20"/>
          <w:szCs w:val="20"/>
          <w:lang w:eastAsia="pt-BR"/>
        </w:rPr>
        <w:t>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XX - A </w:t>
      </w:r>
      <w:r w:rsidRPr="006D5437">
        <w:rPr>
          <w:rFonts w:ascii="Cambria" w:eastAsia="Times New Roman" w:hAnsi="Cambria" w:cs="Times New Roman"/>
          <w:b/>
          <w:bCs/>
          <w:sz w:val="20"/>
          <w:szCs w:val="20"/>
          <w:u w:val="single"/>
          <w:lang w:eastAsia="pt-BR"/>
        </w:rPr>
        <w:t xml:space="preserve">natureza personalíssima da atuação profissional do </w:t>
      </w:r>
      <w:r w:rsidRPr="006D5437">
        <w:rPr>
          <w:rFonts w:ascii="Cambria" w:eastAsia="Times New Roman" w:hAnsi="Cambria" w:cs="Times New Roman"/>
          <w:sz w:val="20"/>
          <w:szCs w:val="20"/>
          <w:lang w:eastAsia="pt-BR"/>
        </w:rPr>
        <w:t>médico não caracteriza relação de consumo.”</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Ou seja, além da evidente responsabilização individual do médico, a qual será enfrentada mais a frente, o Código de Ética Médica, ao ser analisado como um todo, demonstra que a atuação profissional do médico ocorre de modo pessoal e individualizado.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De fato, quando se procura um médico, em especial os sócios da Impetrante, o paciente tem o objetivo de encontrar um profissional altamente capacitado que, através dos seus conhecimentos e de uma atuação individualizada, oferece o melhor tratamento possível.</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Completamente diferente, por exemplo, de um serviço de “delivery” por aplicativo, que embora se espera um bom profissional na entrega do item comprado, não existe uma relação duradoura entre entregador e cliente. Isto é, a relação termina imediatamente após o fim da entrega.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Caso semelhante também ocorre na relação hospital emergencial-paciente, uma vez que, ao procurar o pronto-socorro de um hospital, o paciente não está em busca de um médico específico, mas sim da unidade de saúde de forma genérica. O oposto ocorre na relação particular de médico-paciente, consoante verifica-se na clínica Impetrante, como bem ilustra o Dr</w:t>
      </w:r>
      <w:r w:rsidRPr="006D5437">
        <w:rPr>
          <w:rFonts w:ascii="Cambria" w:eastAsia="Times New Roman" w:hAnsi="Cambria" w:cs="Times New Roman"/>
          <w:b/>
          <w:bCs/>
          <w:lang w:eastAsia="pt-BR"/>
        </w:rPr>
        <w:t xml:space="preserve">. </w:t>
      </w:r>
      <w:r w:rsidRPr="006D5437">
        <w:rPr>
          <w:rFonts w:ascii="Cambria" w:eastAsia="Times New Roman" w:hAnsi="Cambria" w:cs="Times New Roman"/>
          <w:shd w:val="clear" w:color="auto" w:fill="FFFFFF"/>
          <w:lang w:eastAsia="pt-BR"/>
        </w:rPr>
        <w:t>Antônio Carlos Lopes, presidente da Sociedade Brasileira de Clínica Médica: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 xml:space="preserve">“É uma interação que envolve </w:t>
      </w:r>
      <w:r w:rsidRPr="006D5437">
        <w:rPr>
          <w:rFonts w:ascii="Cambria" w:eastAsia="Times New Roman" w:hAnsi="Cambria" w:cs="Times New Roman"/>
          <w:sz w:val="20"/>
          <w:szCs w:val="20"/>
          <w:u w:val="single"/>
          <w:shd w:val="clear" w:color="auto" w:fill="FFFFFF"/>
          <w:lang w:eastAsia="pt-BR"/>
        </w:rPr>
        <w:t>confiança e responsabilidade</w:t>
      </w:r>
      <w:r w:rsidRPr="006D5437">
        <w:rPr>
          <w:rFonts w:ascii="Cambria" w:eastAsia="Times New Roman" w:hAnsi="Cambria" w:cs="Times New Roman"/>
          <w:sz w:val="20"/>
          <w:szCs w:val="20"/>
          <w:shd w:val="clear" w:color="auto" w:fill="FFFFFF"/>
          <w:lang w:eastAsia="pt-BR"/>
        </w:rPr>
        <w:t>. Caracteriza-se pelos compromissos e deveres de ambos os atores, permeados pela sinceridade e pelo amor. Sem essa interação verdadeira, não existe Medicina.”</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Além dos fatores intrínsecos da profissão, o próprio nome fantasia da empresa Impetrante demonstra, de modo cristalino, o caráter personalíssimo da prestação de serviços, visto que é nomeada de </w:t>
      </w:r>
      <w:r w:rsidRPr="00200B77">
        <w:rPr>
          <w:rFonts w:ascii="Cambria" w:eastAsia="Times New Roman" w:hAnsi="Cambria" w:cs="Times New Roman"/>
          <w:shd w:val="clear" w:color="auto" w:fill="FFFFFF"/>
          <w:lang w:eastAsia="pt-BR"/>
        </w:rPr>
        <w:t>[NOME FANTASIA DO CLIENTE]</w:t>
      </w:r>
      <w:r w:rsidRPr="006D5437">
        <w:rPr>
          <w:rFonts w:ascii="Cambria" w:eastAsia="Times New Roman" w:hAnsi="Cambria" w:cs="Times New Roman"/>
          <w:shd w:val="clear" w:color="auto" w:fill="FFFFFF"/>
          <w:lang w:eastAsia="pt-BR"/>
        </w:rPr>
        <w:t>.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É dizer, </w:t>
      </w:r>
      <w:r w:rsidRPr="006D5437">
        <w:rPr>
          <w:rFonts w:ascii="Cambria" w:eastAsia="Times New Roman" w:hAnsi="Cambria" w:cs="Times New Roman"/>
          <w:u w:val="single"/>
          <w:shd w:val="clear" w:color="auto" w:fill="FFFFFF"/>
          <w:lang w:eastAsia="pt-BR"/>
        </w:rPr>
        <w:t>o grau de personalidade na prestação do serviço é tão nítido que o nome civil do profissional é a essência do nome fantasia da sociedade</w:t>
      </w:r>
      <w:r w:rsidRPr="006D5437">
        <w:rPr>
          <w:rFonts w:ascii="Cambria" w:eastAsia="Times New Roman" w:hAnsi="Cambria" w:cs="Times New Roman"/>
          <w:shd w:val="clear" w:color="auto" w:fill="FFFFFF"/>
          <w:lang w:eastAsia="pt-BR"/>
        </w:rPr>
        <w:t xml:space="preserve">. Considerando que quem procura o </w:t>
      </w:r>
      <w:r w:rsidRPr="00200B77">
        <w:rPr>
          <w:rFonts w:ascii="Cambria" w:eastAsia="Times New Roman" w:hAnsi="Cambria" w:cs="Times New Roman"/>
          <w:shd w:val="clear" w:color="auto" w:fill="FFFFFF"/>
          <w:lang w:eastAsia="pt-BR"/>
        </w:rPr>
        <w:t xml:space="preserve">[NOME FANTASIA DO CLIENTE] </w:t>
      </w:r>
      <w:r w:rsidRPr="006D5437">
        <w:rPr>
          <w:rFonts w:ascii="Cambria" w:eastAsia="Times New Roman" w:hAnsi="Cambria" w:cs="Times New Roman"/>
          <w:shd w:val="clear" w:color="auto" w:fill="FFFFFF"/>
          <w:lang w:eastAsia="pt-BR"/>
        </w:rPr>
        <w:t xml:space="preserve">não procura um serviço qualquer, mas sim uma consulta com o referido profissional ou algum médico instruído pelo seu método </w:t>
      </w:r>
      <w:r w:rsidRPr="006D5437">
        <w:rPr>
          <w:rFonts w:ascii="Cambria" w:eastAsia="Times New Roman" w:hAnsi="Cambria" w:cs="Times New Roman"/>
          <w:shd w:val="clear" w:color="auto" w:fill="FFFFFF"/>
          <w:lang w:eastAsia="pt-BR"/>
        </w:rPr>
        <w:lastRenderedPageBreak/>
        <w:t>científico e que possui sua total confiança, razão pela qual integra a equipe liderada pelo especialista.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Portanto, em nenhuma hipótese, trata-se de um serviço impessoal. </w:t>
      </w:r>
    </w:p>
    <w:p w:rsidR="001919B0" w:rsidRPr="006D5437" w:rsidRDefault="001919B0" w:rsidP="001919B0">
      <w:pPr>
        <w:numPr>
          <w:ilvl w:val="0"/>
          <w:numId w:val="7"/>
        </w:numPr>
        <w:spacing w:line="240" w:lineRule="auto"/>
        <w:ind w:left="3479"/>
        <w:jc w:val="both"/>
        <w:textAlignment w:val="baseline"/>
        <w:rPr>
          <w:rFonts w:ascii="Cambria" w:eastAsia="Times New Roman" w:hAnsi="Cambria" w:cs="Times New Roman"/>
          <w:b/>
          <w:bCs/>
          <w:lang w:eastAsia="pt-BR"/>
        </w:rPr>
      </w:pPr>
      <w:r w:rsidRPr="006D5437">
        <w:rPr>
          <w:rFonts w:ascii="Cambria" w:eastAsia="Times New Roman" w:hAnsi="Cambria" w:cs="Times New Roman"/>
          <w:b/>
          <w:bCs/>
          <w:shd w:val="clear" w:color="auto" w:fill="FFFFFF"/>
          <w:lang w:eastAsia="pt-BR"/>
        </w:rPr>
        <w:t>Da responsabilidade pessoal do sócio titular da pessoa jurídica Impetrante.</w:t>
      </w:r>
      <w:r w:rsidRPr="006D5437">
        <w:rPr>
          <w:rFonts w:ascii="Cambria" w:eastAsia="Times New Roman" w:hAnsi="Cambria" w:cs="Times New Roman"/>
          <w:b/>
          <w:bCs/>
          <w:shd w:val="clear" w:color="auto" w:fill="FFFFFF"/>
          <w:lang w:eastAsia="pt-BR"/>
        </w:rPr>
        <w:tab/>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De acordo com o disposto no DL nº 406/68, ficará sujeita ao recolhimento do ISS por alíquota fixa sociedade integrada por profissionais que, embora prestem serviços em nome da sociedade, assumam responsabilidade pessoal.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Dessa forma, quanto ao referido requisito da responsabilização pessoal dos profissionais pelos serviços prestados, verifica-se que, essencialmente, a responsabilidade do médico é subjetiva, seguindo a regra geral da responsabilidade civil, firmada pelo art. 14, § 4º, do Código de Defesa do Consumidor, ao dispor que “</w:t>
      </w:r>
      <w:r w:rsidRPr="006D5437">
        <w:rPr>
          <w:rFonts w:ascii="Cambria" w:eastAsia="Times New Roman" w:hAnsi="Cambria" w:cs="Times New Roman"/>
          <w:b/>
          <w:bCs/>
          <w:u w:val="single"/>
          <w:shd w:val="clear" w:color="auto" w:fill="FFFFFF"/>
          <w:lang w:eastAsia="pt-BR"/>
        </w:rPr>
        <w:t>a responsabilidade pessoal dos profissionais liberais será apurada mediante a verificação de culpa</w:t>
      </w:r>
      <w:r w:rsidRPr="006D5437">
        <w:rPr>
          <w:rFonts w:ascii="Cambria" w:eastAsia="Times New Roman" w:hAnsi="Cambria" w:cs="Times New Roman"/>
          <w:shd w:val="clear" w:color="auto" w:fill="FFFFFF"/>
          <w:lang w:eastAsia="pt-BR"/>
        </w:rPr>
        <w:t>”.</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Por ser de grande importância o exercício do profissional médico, as regras e normas que regem a profissão encontram-se estabelecidas no Código de Ética Médica, que foi colocado em vigor pela Resolução do Conselho Federal de Medicina (CFM) - Resolução CFM Nº 1931/2009.</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O Capitulo III da referida Resolução elenca a responsabilidade profissional do médico, o qual explicita a figura da responsabilidade subjetiva, conforme abaixo transcrito: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Art. 1º Causar dano ao paciente, por ação ou omissão, caracterizável como imperícia, imprudência ou negligência.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Parágrafo único.</w:t>
      </w:r>
      <w:r w:rsidRPr="006D5437">
        <w:rPr>
          <w:rFonts w:ascii="Cambria" w:eastAsia="Times New Roman" w:hAnsi="Cambria" w:cs="Times New Roman"/>
          <w:b/>
          <w:bCs/>
          <w:sz w:val="20"/>
          <w:szCs w:val="20"/>
          <w:u w:val="single"/>
          <w:shd w:val="clear" w:color="auto" w:fill="FFFFFF"/>
          <w:lang w:eastAsia="pt-BR"/>
        </w:rPr>
        <w:t xml:space="preserve"> A responsabilidade médica é sempre pessoal </w:t>
      </w:r>
      <w:r w:rsidRPr="006D5437">
        <w:rPr>
          <w:rFonts w:ascii="Cambria" w:eastAsia="Times New Roman" w:hAnsi="Cambria" w:cs="Times New Roman"/>
          <w:sz w:val="20"/>
          <w:szCs w:val="20"/>
          <w:u w:val="single"/>
          <w:shd w:val="clear" w:color="auto" w:fill="FFFFFF"/>
          <w:lang w:eastAsia="pt-BR"/>
        </w:rPr>
        <w:t>e não pode ser presumida</w:t>
      </w:r>
      <w:r w:rsidRPr="006D5437">
        <w:rPr>
          <w:rFonts w:ascii="Cambria" w:eastAsia="Times New Roman" w:hAnsi="Cambria" w:cs="Times New Roman"/>
          <w:b/>
          <w:bCs/>
          <w:sz w:val="20"/>
          <w:szCs w:val="20"/>
          <w:u w:val="single"/>
          <w:shd w:val="clear" w:color="auto" w:fill="FFFFFF"/>
          <w:lang w:eastAsia="pt-BR"/>
        </w:rPr>
        <w:t>.</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Isto posto, é cediço que </w:t>
      </w:r>
      <w:r w:rsidRPr="006D5437">
        <w:rPr>
          <w:rFonts w:ascii="Cambria" w:eastAsia="Times New Roman" w:hAnsi="Cambria" w:cs="Times New Roman"/>
          <w:b/>
          <w:bCs/>
          <w:u w:val="single"/>
          <w:shd w:val="clear" w:color="auto" w:fill="FFFFFF"/>
          <w:lang w:eastAsia="pt-BR"/>
        </w:rPr>
        <w:t>os profissionais médicos integrantes da sociedade Impetrante sempre serão responsabilizados pessoalmente pelo exercício de suas atividades</w:t>
      </w:r>
      <w:r w:rsidRPr="006D5437">
        <w:rPr>
          <w:rFonts w:ascii="Cambria" w:eastAsia="Times New Roman" w:hAnsi="Cambria" w:cs="Times New Roman"/>
          <w:shd w:val="clear" w:color="auto" w:fill="FFFFFF"/>
          <w:lang w:eastAsia="pt-BR"/>
        </w:rPr>
        <w:t>, de forma a atender ao requisito previsto no DL 406/1968 para enquadramento no regime de tributação fixa do ISS. </w:t>
      </w:r>
    </w:p>
    <w:p w:rsidR="001919B0" w:rsidRPr="006D5437" w:rsidRDefault="001919B0" w:rsidP="001919B0">
      <w:pPr>
        <w:numPr>
          <w:ilvl w:val="0"/>
          <w:numId w:val="8"/>
        </w:numPr>
        <w:spacing w:line="240" w:lineRule="auto"/>
        <w:ind w:left="3479"/>
        <w:jc w:val="both"/>
        <w:textAlignment w:val="baseline"/>
        <w:rPr>
          <w:rFonts w:ascii="Cambria" w:eastAsia="Times New Roman" w:hAnsi="Cambria" w:cs="Times New Roman"/>
          <w:b/>
          <w:bCs/>
          <w:lang w:eastAsia="pt-BR"/>
        </w:rPr>
      </w:pPr>
      <w:r w:rsidRPr="006D5437">
        <w:rPr>
          <w:rFonts w:ascii="Cambria" w:eastAsia="Times New Roman" w:hAnsi="Cambria" w:cs="Times New Roman"/>
          <w:b/>
          <w:bCs/>
          <w:shd w:val="clear" w:color="auto" w:fill="FFFFFF"/>
          <w:lang w:eastAsia="pt-BR"/>
        </w:rPr>
        <w:t xml:space="preserve">Da indiferença </w:t>
      </w:r>
      <w:r w:rsidRPr="006D5437">
        <w:rPr>
          <w:rFonts w:ascii="Cambria" w:eastAsia="Times New Roman" w:hAnsi="Cambria" w:cs="Times New Roman"/>
          <w:b/>
          <w:bCs/>
          <w:lang w:eastAsia="pt-BR"/>
        </w:rPr>
        <w:t>na forma de organização da sociedade como elemento capaz de afastar a possibilidade de recolhimento do ISS fixo</w:t>
      </w:r>
      <w:r w:rsidRPr="006D5437">
        <w:rPr>
          <w:rFonts w:ascii="Cambria" w:eastAsia="Times New Roman" w:hAnsi="Cambria" w:cs="Times New Roman"/>
          <w:b/>
          <w:bCs/>
          <w:shd w:val="clear" w:color="auto" w:fill="FFFFFF"/>
          <w:lang w:eastAsia="pt-BR"/>
        </w:rPr>
        <w:t>.</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3611CF">
        <w:rPr>
          <w:rFonts w:ascii="Cambria" w:eastAsia="Times New Roman" w:hAnsi="Cambria" w:cs="Times New Roman"/>
          <w:shd w:val="clear" w:color="auto" w:fill="FFFFFF"/>
          <w:lang w:eastAsia="pt-BR"/>
        </w:rPr>
        <w:t>A [LEI MUNICIPAL]</w:t>
      </w:r>
      <w:r w:rsidRPr="006D5437">
        <w:rPr>
          <w:rFonts w:ascii="Cambria" w:eastAsia="Times New Roman" w:hAnsi="Cambria" w:cs="Times New Roman"/>
          <w:shd w:val="clear" w:color="auto" w:fill="FFFFFF"/>
          <w:lang w:eastAsia="pt-BR"/>
        </w:rPr>
        <w:t>, ao vedar que sociedades constituídas sob forma de sociedade limitada utilizem o regime do ISS fixo, desconsidera que a</w:t>
      </w:r>
      <w:r w:rsidRPr="006D5437">
        <w:rPr>
          <w:rFonts w:ascii="Cambria" w:eastAsia="Times New Roman" w:hAnsi="Cambria" w:cs="Times New Roman"/>
          <w:lang w:eastAsia="pt-BR"/>
        </w:rPr>
        <w:t xml:space="preserve"> congregação de profissionais médicos, através da contratação de sociedade uniprofissionais, não significa que os serviços por eles prestados deixarão de ter natureza personalíssima.</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u w:val="single"/>
          <w:lang w:eastAsia="pt-BR"/>
        </w:rPr>
        <w:t>Soa absurdo pressupor que a organização sob a forma limitada de uma sociedade acarreta em automática constatação de que a prestação de seus serviços ocorre de maneira impessoal ou sem a responsabilização direta dos profissionais habilitados.</w:t>
      </w:r>
      <w:r w:rsidRPr="006D5437">
        <w:rPr>
          <w:rFonts w:ascii="Cambria" w:eastAsia="Times New Roman" w:hAnsi="Cambria" w:cs="Times New Roman"/>
          <w:lang w:eastAsia="pt-BR"/>
        </w:rPr>
        <w:t xml:space="preserve"> A eventual verificação deste “requisito adicional”, aliás, não altera em nada a natureza das atividades desenvolvidas. Assim, tal limitação não pode ser considerada válida, uma vez que extrapola os requisitos previstos no art. 9º, §3º, do DL nº 406/68.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Dessa forma, evidencia-se que uma sociedade constituída por sócios de profissões legalmente regulamentadas, ainda que sob a modalidade jurídica de </w:t>
      </w:r>
      <w:r w:rsidRPr="006D5437">
        <w:rPr>
          <w:rFonts w:ascii="Cambria" w:eastAsia="Times New Roman" w:hAnsi="Cambria" w:cs="Times New Roman"/>
          <w:lang w:eastAsia="pt-BR"/>
        </w:rPr>
        <w:lastRenderedPageBreak/>
        <w:t>sociedade limitada, não perde a sua condição de sociedade de profissionais, meritória do benefício previsto no DL 406/68.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Em verdade, o que esta norma exige não é a responsabilidade ilimitada dos sócios, mas que a prestação dos serviços, que se desenvolve em nome da sociedade, possua caráter pessoal, assumindo os sócios a responsabilização específica pelo exercício de suas atividades.</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Destarte, o jurista Ives Gandra da Silva Martins esclarece as condições necessárias à concessão do regime de tributado do ISS fixo: </w:t>
      </w:r>
    </w:p>
    <w:p w:rsidR="001919B0" w:rsidRPr="006D5437" w:rsidRDefault="001919B0" w:rsidP="001919B0">
      <w:pPr>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b/>
          <w:bCs/>
          <w:sz w:val="20"/>
          <w:szCs w:val="20"/>
          <w:u w:val="single"/>
          <w:lang w:eastAsia="pt-BR"/>
        </w:rPr>
        <w:t>Não é a dimensão da sociedade e o número de profissionais que definem o regime de tributação do ISS, mas o tipo de serviço prestado</w:t>
      </w:r>
      <w:r w:rsidRPr="006D5437">
        <w:rPr>
          <w:rFonts w:ascii="Cambria" w:eastAsia="Times New Roman" w:hAnsi="Cambria" w:cs="Times New Roman"/>
          <w:sz w:val="20"/>
          <w:szCs w:val="20"/>
          <w:u w:val="single"/>
          <w:lang w:eastAsia="pt-BR"/>
        </w:rPr>
        <w:t>. Incidência por alíquota proporcional em função do número de profissionais e não pelo movimento econômico.</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Nesse mesmo sentido, inclusive, adverte Aliomar Baleeiro: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b/>
          <w:bCs/>
          <w:sz w:val="20"/>
          <w:szCs w:val="20"/>
          <w:u w:val="single"/>
          <w:lang w:eastAsia="pt-BR"/>
        </w:rPr>
        <w:t>O § 3º do art. 9º do Decreto-Lei n.º 406 regula o caso de profissionais que se congregam em sociedades civis, ainda que se revistam de formas de sociedades comerciais. E, a exemplo da legislação do imposto sobre a renda, dá-lhes tratamento fiscal mais benévolo</w:t>
      </w:r>
      <w:r w:rsidRPr="006D5437">
        <w:rPr>
          <w:rFonts w:ascii="Cambria" w:eastAsia="Times New Roman" w:hAnsi="Cambria" w:cs="Times New Roman"/>
          <w:sz w:val="20"/>
          <w:szCs w:val="20"/>
          <w:lang w:eastAsia="pt-BR"/>
        </w:rPr>
        <w:t>. [...]</w:t>
      </w:r>
    </w:p>
    <w:p w:rsidR="001919B0" w:rsidRPr="006D5437" w:rsidRDefault="001919B0" w:rsidP="001919B0">
      <w:pPr>
        <w:spacing w:after="0"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Noutras palavras, o Fisco municipal deverá fazer abstração da sociedade constituída por esses profissionais e tributá-los como indivíduos, segundo as alíquotas estabelecidas para trabalhadores autônomos. </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A propósito, é importante frisar que, diferentemente da legislação do imposto de renda, que prevê benefício para a atividade de prestação de serviços médicos, desde que a prestadora destes serviços seja organizada sob a forma de sociedade empresária, o DL 406/68 não exige forma de organização empresaria específica, o que estende a vantagem do ISS fixo a todos os tipos de sociedade, desde que o serviço seja prestado pelos sócios de forma pessoal.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Ora, a responsabilidade do profissional como sócio da pessoa jurídica não se confunde com a responsabilidade que lhe é pessoalmente atribuída em razão do exercício da profissão. É irrazoável, portanto, subordinar o benefício concedido ao exercício de atividade de profissional intelectual, cujos atributos da pessoalidade e da responsabilidade pessoal lhe são inerentes, com a modalidade de responsabilidade social escolhida pela pessoa jurídica.</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A incompatibilidade de enquadramento do ISS fixo relaciona-se à presença do elemento de empresa na atividade desenvolvida, identificado pela estrutura própria de mercado comercial, marcado pela impessoalidade e operabilidade direcionada a potencializar a obtenção de lucro.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Diante disso, é óbvio que o fundamento da benesse fiscal, ou seja, a menor capacidade contributiva revelada pelos profissionais liberais, não se vincula ao modelo empresarial adotado pela sociedade.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Noutro giro, cumpre salientar que a responsabilidade pessoal pela prestação do serviço é delimitada pelas normas que regulamentam a profissão dos sócios, e não pelo regime societário em que os profissionais intelectuais se organizam.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Notadamente, as profissões previstas no § 3º do art. 9 do DL 406/68 são regulamentadas por leis que disciplinam a responsabilidade civil pelo exercício </w:t>
      </w:r>
      <w:r w:rsidRPr="006D5437">
        <w:rPr>
          <w:rFonts w:ascii="Cambria" w:eastAsia="Times New Roman" w:hAnsi="Cambria" w:cs="Times New Roman"/>
          <w:lang w:eastAsia="pt-BR"/>
        </w:rPr>
        <w:lastRenderedPageBreak/>
        <w:t>da profissão, seja de forma autônoma, ou através de uma pessoa jurídica constituída para esse fim.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Conforme mencionado anteriormente, no que tange especialmente à medicina, o Conselho Federal de Medicina determina expressamente que os médicos responderão pessoalmente pela prestação dos seus serviços.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Nessa linha de raciocínio, o Ministro Mauro Campbell Marques proferiu voto no julgamento do Embargos de Divergência em Agravo em Recurso Especial nº 31.084/MS. Observa-se do trecho a seguir transcrito: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Nesse cenário, conjugando esse regramento profissional, com a norma tributária que instituiu o benefício da alíquota fixa, </w:t>
      </w:r>
      <w:r w:rsidRPr="006D5437">
        <w:rPr>
          <w:rFonts w:ascii="Cambria" w:eastAsia="Times New Roman" w:hAnsi="Cambria" w:cs="Times New Roman"/>
          <w:b/>
          <w:bCs/>
          <w:sz w:val="20"/>
          <w:szCs w:val="20"/>
          <w:u w:val="single"/>
          <w:lang w:eastAsia="pt-BR"/>
        </w:rPr>
        <w:t>não se pode condicionar o gozo da referida benesse fiscal ao modelo societário elegido pelos sócios para a consecução do objeto social da pessoa jurídica</w:t>
      </w:r>
      <w:r w:rsidRPr="006D5437">
        <w:rPr>
          <w:rFonts w:ascii="Cambria" w:eastAsia="Times New Roman" w:hAnsi="Cambria" w:cs="Times New Roman"/>
          <w:sz w:val="20"/>
          <w:szCs w:val="20"/>
          <w:lang w:eastAsia="pt-BR"/>
        </w:rPr>
        <w:t xml:space="preserve">. </w:t>
      </w:r>
      <w:r w:rsidRPr="006D5437">
        <w:rPr>
          <w:rFonts w:ascii="Cambria" w:eastAsia="Times New Roman" w:hAnsi="Cambria" w:cs="Times New Roman"/>
          <w:b/>
          <w:bCs/>
          <w:sz w:val="20"/>
          <w:szCs w:val="20"/>
          <w:u w:val="single"/>
          <w:lang w:eastAsia="pt-BR"/>
        </w:rPr>
        <w:t>A rigor, a responsabilidade pessoal descrita no artigo 9º, § 3º, do Decreto-Lei 406/1968 é aquela descrita nas leis de regência de cada profissão</w:t>
      </w:r>
      <w:r w:rsidRPr="006D5437">
        <w:rPr>
          <w:rFonts w:ascii="Cambria" w:eastAsia="Times New Roman" w:hAnsi="Cambria" w:cs="Times New Roman"/>
          <w:b/>
          <w:bCs/>
          <w:sz w:val="20"/>
          <w:szCs w:val="20"/>
          <w:lang w:eastAsia="pt-BR"/>
        </w:rPr>
        <w:t xml:space="preserve">. </w:t>
      </w:r>
      <w:r w:rsidRPr="006D5437">
        <w:rPr>
          <w:rFonts w:ascii="Cambria" w:eastAsia="Times New Roman" w:hAnsi="Cambria" w:cs="Times New Roman"/>
          <w:sz w:val="20"/>
          <w:szCs w:val="20"/>
          <w:lang w:eastAsia="pt-BR"/>
        </w:rPr>
        <w:t>(...)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Em conclusão, </w:t>
      </w:r>
      <w:r w:rsidRPr="006D5437">
        <w:rPr>
          <w:rFonts w:ascii="Cambria" w:eastAsia="Times New Roman" w:hAnsi="Cambria" w:cs="Times New Roman"/>
          <w:b/>
          <w:bCs/>
          <w:sz w:val="20"/>
          <w:szCs w:val="20"/>
          <w:u w:val="single"/>
          <w:lang w:eastAsia="pt-BR"/>
        </w:rPr>
        <w:t>a fruição do direito à tributação privilegiada do ISSQN depende, basicamente, da análise da atividade efetivamente exercida pela sociedade, para saber se ela se enquadra dentre aquelas elencadas no § 3º do art. 9º do Decreto-lei n. 406/1968 (itens 1, 4, 8, 25, 52, 88, 89, 90, 92 da lista anexa à LC n. 56/1987), bem como se perquirir se a atividade intelectual, científica, literária ou artística desempenhada pela pessoa jurídica não constitua elemento de empresa, ou melhor, nos termos do artigo 966 do Código Civil, que os fatores de produção, circulação e de organização empresarial não se sobreponham à atuação profissional e direta dos sócios na condução do objeto social da empresa, sendo irrelevante para essa finalidade o fato de a pessoa jurídica ter se constituído sob a forma de responsabilidade limitada.</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Outrossim, em acórdão do Tribunal de Justiça de Minas Gerais, a relatora prolatou voto elucidativo sobre o tema:</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 Assim, quando, como no caso dos autos, os sócios da SOCIEDADE composta por contadores, profissionais constantes. O número 25 da lista anexa ao Decreto-Lei n.º 406/68, prestarem os serviços pessoalmente e com responsabilidade própria, o ISSQN deverá ser calculado em relação a cada profissional habilitado, salvo se demonstrado o caráter empresarial da SOCIEDADE. </w:t>
      </w:r>
      <w:r w:rsidRPr="006D5437">
        <w:rPr>
          <w:rFonts w:ascii="Cambria" w:eastAsia="Times New Roman" w:hAnsi="Cambria" w:cs="Times New Roman"/>
          <w:b/>
          <w:bCs/>
          <w:sz w:val="20"/>
          <w:szCs w:val="20"/>
          <w:u w:val="single"/>
          <w:lang w:eastAsia="pt-BR"/>
        </w:rPr>
        <w:t>Nesse aspecto, é certo que a natureza da SOCIEDADE se civil ou empresarial, decorre do seu objeto e não da declaração no registro do comércio, segundo as palavras do doutrinador José Eunápio Borges ‘é somente mercantil a SOCIEDADE cujo objeto consiste em operações cuja prática profissional daria a um indivíduo a qualidade de comerciante’</w:t>
      </w:r>
      <w:r w:rsidRPr="006D5437">
        <w:rPr>
          <w:rFonts w:ascii="Cambria" w:eastAsia="Times New Roman" w:hAnsi="Cambria" w:cs="Times New Roman"/>
          <w:sz w:val="20"/>
          <w:szCs w:val="20"/>
          <w:lang w:eastAsia="pt-BR"/>
        </w:rPr>
        <w:t xml:space="preserve"> (Curso de Direito Comercial Terrestre, 5ª edição, Forense, 1971, p. 258) (grifo nosso)</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Isto posto, vislumbra-se, portanto, que é indiferente para o cálculo do ISS o fato da sociedade ser constituída ou não sob a forma de sociedade limitada.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No presente caso, </w:t>
      </w:r>
      <w:r w:rsidRPr="006D5437">
        <w:rPr>
          <w:rFonts w:ascii="Cambria" w:eastAsia="Times New Roman" w:hAnsi="Cambria" w:cs="Times New Roman"/>
          <w:b/>
          <w:bCs/>
          <w:u w:val="single"/>
          <w:lang w:eastAsia="pt-BR"/>
        </w:rPr>
        <w:t>apesar da Impetrante estar organizada sob a forma de sociedade limitada, o objetivo da sua atuação central, essencialmente, revela-se relacionada à figura pessoal dos sócios, profissionais intelectuais de responsabilização direta</w:t>
      </w:r>
      <w:r w:rsidRPr="006D5437">
        <w:rPr>
          <w:rFonts w:ascii="Cambria" w:eastAsia="Times New Roman" w:hAnsi="Cambria" w:cs="Times New Roman"/>
          <w:lang w:eastAsia="pt-BR"/>
        </w:rPr>
        <w:t>.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b/>
          <w:bCs/>
          <w:u w:val="single"/>
          <w:lang w:eastAsia="pt-BR"/>
        </w:rPr>
        <w:lastRenderedPageBreak/>
        <w:t>Em outras palavras, a organização formalmente empresária da Impetrante não modifica sua natureza substancialmente personalíssima, sobressaindo o exercício profissional científico individualizado.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Nesse sentido, o Código Civil </w:t>
      </w:r>
      <w:r w:rsidRPr="006D5437">
        <w:rPr>
          <w:rFonts w:ascii="Cambria" w:eastAsia="Times New Roman" w:hAnsi="Cambria" w:cs="Times New Roman"/>
          <w:lang w:eastAsia="pt-BR"/>
        </w:rPr>
        <w:t>menciona</w:t>
      </w:r>
      <w:r w:rsidRPr="006D5437">
        <w:rPr>
          <w:rFonts w:ascii="Cambria" w:eastAsia="Times New Roman" w:hAnsi="Cambria" w:cs="Times New Roman"/>
          <w:shd w:val="clear" w:color="auto" w:fill="FFFFFF"/>
          <w:lang w:eastAsia="pt-BR"/>
        </w:rPr>
        <w:t xml:space="preserve"> que não se considera empresária a pessoa jurídica que exerça profissão intelectual ou científica, como é o caso da Impetrante: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Art. 966. (...) </w:t>
      </w:r>
      <w:r w:rsidRPr="006D5437">
        <w:rPr>
          <w:rFonts w:ascii="Cambria" w:eastAsia="Times New Roman" w:hAnsi="Cambria" w:cs="Times New Roman"/>
          <w:sz w:val="20"/>
          <w:szCs w:val="20"/>
          <w:shd w:val="clear" w:color="auto" w:fill="FFFFFF"/>
          <w:lang w:eastAsia="pt-BR"/>
        </w:rPr>
        <w:t>Parágrafo</w:t>
      </w:r>
      <w:r w:rsidRPr="006D5437">
        <w:rPr>
          <w:rFonts w:ascii="Cambria" w:eastAsia="Times New Roman" w:hAnsi="Cambria" w:cs="Times New Roman"/>
          <w:sz w:val="20"/>
          <w:szCs w:val="20"/>
          <w:lang w:eastAsia="pt-BR"/>
        </w:rPr>
        <w:t xml:space="preserve"> único. </w:t>
      </w:r>
      <w:r w:rsidRPr="006D5437">
        <w:rPr>
          <w:rFonts w:ascii="Cambria" w:eastAsia="Times New Roman" w:hAnsi="Cambria" w:cs="Times New Roman"/>
          <w:b/>
          <w:bCs/>
          <w:sz w:val="20"/>
          <w:szCs w:val="20"/>
          <w:u w:val="single"/>
          <w:lang w:eastAsia="pt-BR"/>
        </w:rPr>
        <w:t>Não se considera empresário quem exerce profissão intelectual, de natureza científica, literária ou artística</w:t>
      </w:r>
      <w:r w:rsidRPr="006D5437">
        <w:rPr>
          <w:rFonts w:ascii="Cambria" w:eastAsia="Times New Roman" w:hAnsi="Cambria" w:cs="Times New Roman"/>
          <w:sz w:val="20"/>
          <w:szCs w:val="20"/>
          <w:lang w:eastAsia="pt-BR"/>
        </w:rPr>
        <w:t>, ainda com o concurso de auxiliares ou colaboradores, salvo se o exercício da profissão constituir elemento de empresa.</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Demais disso, o Código Civil autoriza que sociedades simples sejam constituídas sob forma de sociedade limitada e dispõe que o fato delas utilizarem esse tipo societário não as descaracterizam como sociedade simples se o seu </w:t>
      </w:r>
      <w:r w:rsidRPr="006D5437">
        <w:rPr>
          <w:rFonts w:ascii="Cambria" w:eastAsia="Times New Roman" w:hAnsi="Cambria" w:cs="Times New Roman"/>
          <w:b/>
          <w:bCs/>
          <w:u w:val="single"/>
          <w:shd w:val="clear" w:color="auto" w:fill="FFFFFF"/>
          <w:lang w:eastAsia="pt-BR"/>
        </w:rPr>
        <w:t>objeto</w:t>
      </w:r>
      <w:r w:rsidRPr="006D5437">
        <w:rPr>
          <w:rFonts w:ascii="Cambria" w:eastAsia="Times New Roman" w:hAnsi="Cambria" w:cs="Times New Roman"/>
          <w:shd w:val="clear" w:color="auto" w:fill="FFFFFF"/>
          <w:lang w:eastAsia="pt-BR"/>
        </w:rPr>
        <w:t xml:space="preserve"> não for empresarial: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 xml:space="preserve">Art. 983. A sociedade empresária deve constituir-se segundo um dos tipos regulados nos arts. 1.039 a 1.092; </w:t>
      </w:r>
      <w:r w:rsidRPr="006D5437">
        <w:rPr>
          <w:rFonts w:ascii="Cambria" w:eastAsia="Times New Roman" w:hAnsi="Cambria" w:cs="Times New Roman"/>
          <w:b/>
          <w:bCs/>
          <w:sz w:val="20"/>
          <w:szCs w:val="20"/>
          <w:u w:val="single"/>
          <w:shd w:val="clear" w:color="auto" w:fill="FFFFFF"/>
          <w:lang w:eastAsia="pt-BR"/>
        </w:rPr>
        <w:t>a sociedade simples pode constituir-se de conformidade com um desses tipos</w:t>
      </w:r>
      <w:r w:rsidRPr="006D5437">
        <w:rPr>
          <w:rFonts w:ascii="Cambria" w:eastAsia="Times New Roman" w:hAnsi="Cambria" w:cs="Times New Roman"/>
          <w:sz w:val="20"/>
          <w:szCs w:val="20"/>
          <w:shd w:val="clear" w:color="auto" w:fill="FFFFFF"/>
          <w:lang w:eastAsia="pt-BR"/>
        </w:rPr>
        <w:t>, e, não o fazendo, subordina-se às normas que lhe são próprias.</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Frisa-se que a forma de organização como sociedade limitada não altera a natureza do serviço prestado pela Impetrante, que cumpre todos os requisitos previsto no DL 406/68.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Em atenção a tudo aqui mencionado, </w:t>
      </w:r>
      <w:r w:rsidRPr="006D5437">
        <w:rPr>
          <w:rFonts w:ascii="Cambria" w:eastAsia="Times New Roman" w:hAnsi="Cambria" w:cs="Times New Roman"/>
          <w:b/>
          <w:bCs/>
          <w:u w:val="single"/>
          <w:shd w:val="clear" w:color="auto" w:fill="FFFFFF"/>
          <w:lang w:eastAsia="pt-BR"/>
        </w:rPr>
        <w:t>a Primeira Seção do Superior Tribunal de Justiça uniformizou o entendimento do Tribunal sobre a possibilidade de as sociedades uniprofissionais constituírem-se como sociedades limitadas e, ainda assim, serem tributadas pela alíquota fixa do ISS</w:t>
      </w:r>
      <w:r w:rsidRPr="006D5437">
        <w:rPr>
          <w:rFonts w:ascii="Cambria" w:eastAsia="Times New Roman" w:hAnsi="Cambria" w:cs="Times New Roman"/>
          <w:shd w:val="clear" w:color="auto" w:fill="FFFFFF"/>
          <w:lang w:eastAsia="pt-BR"/>
        </w:rPr>
        <w:t>.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Em outra oportunidade, a Corte Superior manteve acórdão oriundo da Segunda Câmara Especial do Tribunal de Justiça de Rondônia, que entendeu que </w:t>
      </w:r>
      <w:r w:rsidRPr="006D5437">
        <w:rPr>
          <w:rFonts w:ascii="Cambria" w:eastAsia="Times New Roman" w:hAnsi="Cambria" w:cs="Times New Roman"/>
          <w:b/>
          <w:bCs/>
          <w:u w:val="single"/>
          <w:shd w:val="clear" w:color="auto" w:fill="FFFFFF"/>
          <w:lang w:eastAsia="pt-BR"/>
        </w:rPr>
        <w:t>o simples registro na Junta Comercial não impede que sociedades organizadas sob a forma limitada utilizem do regime de tributação fixa do ISS</w:t>
      </w:r>
      <w:r w:rsidRPr="006D5437">
        <w:rPr>
          <w:rFonts w:ascii="Cambria" w:eastAsia="Times New Roman" w:hAnsi="Cambria" w:cs="Times New Roman"/>
          <w:shd w:val="clear" w:color="auto" w:fill="FFFFFF"/>
          <w:lang w:eastAsia="pt-BR"/>
        </w:rPr>
        <w:t>, conforme verifica-se: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shd w:val="clear" w:color="auto" w:fill="FFFFFF"/>
          <w:lang w:eastAsia="pt-BR"/>
        </w:rPr>
        <w:t xml:space="preserve">PROCESSUAL CIVIL. TRIBUTÁRIO. </w:t>
      </w:r>
      <w:r w:rsidRPr="006D5437">
        <w:rPr>
          <w:rFonts w:ascii="Cambria" w:eastAsia="Times New Roman" w:hAnsi="Cambria" w:cs="Times New Roman"/>
          <w:b/>
          <w:bCs/>
          <w:sz w:val="20"/>
          <w:szCs w:val="20"/>
          <w:u w:val="single"/>
          <w:shd w:val="clear" w:color="auto" w:fill="FFFFFF"/>
          <w:lang w:eastAsia="pt-BR"/>
        </w:rPr>
        <w:t>ISSQN. ART. 9°, §3°, DO DECRETO-LEI N. 406/68. SOCIEDADE UNIPROFISSIONAL</w:t>
      </w:r>
      <w:r w:rsidRPr="006D5437">
        <w:rPr>
          <w:rFonts w:ascii="Cambria" w:eastAsia="Times New Roman" w:hAnsi="Cambria" w:cs="Times New Roman"/>
          <w:sz w:val="20"/>
          <w:szCs w:val="20"/>
          <w:shd w:val="clear" w:color="auto" w:fill="FFFFFF"/>
          <w:lang w:eastAsia="pt-BR"/>
        </w:rPr>
        <w:t xml:space="preserve">. RECOLHIMENTO POR QUOTA FIXA. AUSÊNCIA DE CARÁTER EMPRESARIAL. DIVERGÊNCIA JURISPRUDENCIAL. INOCORRÊNCIA. 1. A divergência jurisprudencial, ensejadora de conhecimento do recurso especial pela alínea "c", deve ser devidamente demonstrada, conforme as exigências do parágrafo único do art. 541 do CPC, c/c o art. 255, e seus parágrafos, do RISTJ. 2. À demonstração do dissídio jurisprudencial, impõe indispensável revelar soluções encontradas pelo decisum embargado e paradigma tiveram por base as mesmas premissas fáticas e jurídicas, havendo entre elas similitude de circunstâncias, sendo insuficiente para esse fim a mera transcrição de ementas (precedentes: REsp n.º 425.467 - MT, Relator Ministro FERNANDO GONÇALVES, Quarta Turma, DJ de 05/09/2005; REsp n.º 703.081 - CE, Relator Ministro CASTRO MEIRA, Segunda Turma, DJ de 22/08/2005; AgRg no REsp n.º 463.305 - PR, Relatora Ministra DENISE ARRUDA, Primeira Turma, DJ de 08/06/2005). 3. Ademais, o recurso especial interposto com esteio na alínea "c" é cabível quando a corte de origem tiver atribuído à lei federal interpretação diferente da conferida por outro tribunal, haja vista que a finalidade é justamente possibilitar a uniformização da jurisprudência dos tribunais acerca da </w:t>
      </w:r>
      <w:r w:rsidRPr="006D5437">
        <w:rPr>
          <w:rFonts w:ascii="Cambria" w:eastAsia="Times New Roman" w:hAnsi="Cambria" w:cs="Times New Roman"/>
          <w:sz w:val="20"/>
          <w:szCs w:val="20"/>
          <w:shd w:val="clear" w:color="auto" w:fill="FFFFFF"/>
          <w:lang w:eastAsia="pt-BR"/>
        </w:rPr>
        <w:lastRenderedPageBreak/>
        <w:t xml:space="preserve">interpretação da lei federal. 4. In casu, o Município recorrente aduz que: "O acórdão oriundo da SEGUNDA CÂMARA ESPECIAL DO TRIBUNAL DE JUSTIÇA DE RONDÔNIA, cuja decisão se dera por unanimidade de votos, entendeu que às sociedades civis uniprofissionais, com caráter empresarial, frise-se, gozam do privilégio previsto no Art. 9°, §3°, do Decreto-Lei Federal N° 406/68 (...) Já o acórdão paradigma oriundo da SEGUNDA TURMA DO SUPERIOR TRIBUNAL DE JUSTIÇA, A UNANIMIDADE, assentara o entendimento segundo o qual têm direito ao ratamento diferençado ao recolhimento do tributo ISSQN as sociedades civis uniprofissionais, cujo objeto contratual se destina à prestação de serviço especializado, com responsabilidade social e sem caráter empresarial.". 5. Ocorre que, diferentemente do alegado, o acórdão recorrido entende que é cabível o recolhimento do ISS mediante alíquota fixa justamente por não ser a sociedade requerente uma sociedade com finalidade empresarial, coadunando-se com a jurisprudência do STJ, senão vejamos: "Com efeito, a sociedade simples constituída por sócios de profissões legalmente regulamentadas, ainda que sob a modalidade jurídica de sociedade limitada, não perde a sua condição de sociedade de profissionais, dada a natureza e forma de prestação de serviços profissionais, não podendo, portanto, ser considerada sociedade empresária pelo simples fato de ser sociedade limitada. É exatamente o caso da apelada. Extrai-se do contrato social que a sociedade é composta por dois médicos e seu objeto é a exploração, por conta própria, do ramo de clínica médica e cirurgia de oftalmologia e anestesia. </w:t>
      </w:r>
      <w:r w:rsidRPr="006D5437">
        <w:rPr>
          <w:rFonts w:ascii="Cambria" w:eastAsia="Times New Roman" w:hAnsi="Cambria" w:cs="Times New Roman"/>
          <w:b/>
          <w:bCs/>
          <w:sz w:val="20"/>
          <w:szCs w:val="20"/>
          <w:u w:val="single"/>
          <w:shd w:val="clear" w:color="auto" w:fill="FFFFFF"/>
          <w:lang w:eastAsia="pt-BR"/>
        </w:rPr>
        <w:t>Como frisado na sentença, apesar de registrada na Junta Comercial, a apelada tem características de uma sociedade simples</w:t>
      </w:r>
      <w:r w:rsidRPr="006D5437">
        <w:rPr>
          <w:rFonts w:ascii="Cambria" w:eastAsia="Times New Roman" w:hAnsi="Cambria" w:cs="Times New Roman"/>
          <w:sz w:val="20"/>
          <w:szCs w:val="20"/>
          <w:shd w:val="clear" w:color="auto" w:fill="FFFFFF"/>
          <w:lang w:eastAsia="pt-BR"/>
        </w:rPr>
        <w:t xml:space="preserve">, porquanto formada por apenas dois sócios, ambos desempenhando a mesma atividade intelectual de forma pessoal e respondendo por seus atos. Diante desses elementos, entendo que a sociedade simples limitada, desprovida de elemento de empresa, atende plenamente às disposições do Decreto-lei n. 406/68, e, em relação ao ISS, devem ser tributadas em valor fixo, segundo a quantidade de profissionais que nela atuam. (...) Assim, </w:t>
      </w:r>
      <w:r w:rsidRPr="006D5437">
        <w:rPr>
          <w:rFonts w:ascii="Cambria" w:eastAsia="Times New Roman" w:hAnsi="Cambria" w:cs="Times New Roman"/>
          <w:b/>
          <w:bCs/>
          <w:sz w:val="20"/>
          <w:szCs w:val="20"/>
          <w:u w:val="single"/>
          <w:shd w:val="clear" w:color="auto" w:fill="FFFFFF"/>
          <w:lang w:eastAsia="pt-BR"/>
        </w:rPr>
        <w:t>verificada que a apelada preenche os requisitos das sociedades uniprofissionais, uma vez que assim caracteriza-se toda aquela sociedade formada por profissionais liberais que atuam na mesma área, legalmente habilitados nos órgãos fiscalizadores do exercício da profissão e que se destinam à prestação de serviços por meio do trabalho pessoal dos seus sócios, desde que não haja finalidade empresarial, impõe-se a manutenção da sentença que lhe garantiu o direito de recolher o ISS mediante alíquota fixa, em conformidade com o Decreto-lei n. 406/68, bem como em compensar a quantia paga a maior." 6. Agravo Regimental desprovido</w:t>
      </w:r>
      <w:r w:rsidRPr="006D5437">
        <w:rPr>
          <w:rFonts w:ascii="Cambria" w:eastAsia="Times New Roman" w:hAnsi="Cambria" w:cs="Times New Roman"/>
          <w:sz w:val="20"/>
          <w:szCs w:val="20"/>
          <w:shd w:val="clear" w:color="auto" w:fill="FFFFFF"/>
          <w:lang w:eastAsia="pt-BR"/>
        </w:rPr>
        <w:t>. (AgRg no REsp 1205175/RO, Rel. Ministro LUIZ FUX, PRIMEIRA TURMA, julgado em 26/10/2010, DJe 16/11/2010)</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 xml:space="preserve">Em atenção ao exposto, conclui-se que </w:t>
      </w:r>
      <w:r w:rsidRPr="006D5437">
        <w:rPr>
          <w:rFonts w:ascii="Cambria" w:eastAsia="Times New Roman" w:hAnsi="Cambria" w:cs="Times New Roman"/>
          <w:b/>
          <w:bCs/>
          <w:u w:val="single"/>
          <w:shd w:val="clear" w:color="auto" w:fill="FFFFFF"/>
          <w:lang w:eastAsia="pt-BR"/>
        </w:rPr>
        <w:t>uma sociedade formalmente empresarial poderá ser beneficiada com o regime fixo do ISS, previsto no DL 406/68, desde que observado o </w:t>
      </w:r>
      <w:hyperlink r:id="rId8" w:history="1">
        <w:r w:rsidRPr="006D5437">
          <w:rPr>
            <w:rFonts w:ascii="Cambria" w:eastAsia="Times New Roman" w:hAnsi="Cambria" w:cs="Times New Roman"/>
            <w:b/>
            <w:bCs/>
            <w:u w:val="single"/>
            <w:shd w:val="clear" w:color="auto" w:fill="FFFFFF"/>
            <w:lang w:eastAsia="pt-BR"/>
          </w:rPr>
          <w:t>objeto social</w:t>
        </w:r>
      </w:hyperlink>
      <w:r w:rsidRPr="006D5437">
        <w:rPr>
          <w:rFonts w:ascii="Cambria" w:eastAsia="Times New Roman" w:hAnsi="Cambria" w:cs="Times New Roman"/>
          <w:b/>
          <w:bCs/>
          <w:u w:val="single"/>
          <w:shd w:val="clear" w:color="auto" w:fill="FFFFFF"/>
          <w:lang w:eastAsia="pt-BR"/>
        </w:rPr>
        <w:t> da sociedade e a responsabilidade prevista em lei de regulamentação da profissão</w:t>
      </w:r>
      <w:r w:rsidRPr="006D5437">
        <w:rPr>
          <w:rFonts w:ascii="Cambria" w:eastAsia="Times New Roman" w:hAnsi="Cambria" w:cs="Times New Roman"/>
          <w:shd w:val="clear" w:color="auto" w:fill="FFFFFF"/>
          <w:lang w:eastAsia="pt-BR"/>
        </w:rPr>
        <w:t>. Como já mencionado, a Impetrante cumpre todos estes requisitos, ao prestar serviços médicos de forma personalíssima, nos termos das Resoluções do Conselho Federal de Medicina.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Isto porque, conforme explicitado no julgamento do AgRg no REsp 1205175/RO, a análise formal da sociedade não é suficiente para determinar o enquadramento no regime fixo de tributação, ou seja, se a sociedade está ou não registrada em Junta Comercial, mas sim a averiguação da maneira que a pessoa jurídica exerce as suas atividades, sendo irrelevante a forma de seu registro.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lastRenderedPageBreak/>
        <w:t>Como bem observou o acórdão do Tribunal de Justiça de Rondônia (transcrito na decisão do STJ): “apesar de registrada na Junta Comercial, a apelada tem características de uma sociedade simples, porquanto formada por apenas dois sócios, ambos desempenhando a mesma atividade intelectual de forma pessoal e respondendo por seus atos. Diante desses elementos, entendo que a sociedade simples limitada, desprovida de elemento de empresa, atende plenamente às disposições do Decreto-lei n. 406/68, e, em relação ao ISS, devem ser tributadas em valor fixo, segundo a quantidade de profissionais que nela atuam”.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Consoante estampado, o trabalho dos sócios da Impetrante é imprescindível para a prestação do serviço oferecido aos pacientes, que desenvolve de forma pessoal e individualizada, autorizando a submissão ao regime de tributação privilegiado do ISS.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Ressalta-se, mais uma vez, que a forma de organização empresarial é indiferente para definição do regime tributário a aplicado às sociedades uniprofissionais, concluindo que o ponto distintivo para o enquadramento nessa sistemática é a pessoalidade e responsabilidade pessoal na realização das atividades.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Em atenção a todo o aqui exposto, diversos Tribunais Nacionais vêm reconhecendo o</w:t>
      </w:r>
      <w:r w:rsidRPr="006D5437">
        <w:rPr>
          <w:rFonts w:ascii="Cambria" w:eastAsia="Times New Roman" w:hAnsi="Cambria" w:cs="Times New Roman"/>
          <w:shd w:val="clear" w:color="auto" w:fill="FFFFFF"/>
          <w:lang w:eastAsia="pt-BR"/>
        </w:rPr>
        <w:t xml:space="preserve"> direito das sociedades uniprofissionais médicas, constituídas sob forma de sociedade limitada, ao enquadramento no regime de tributação fixa do ISS, conforme se verifica o entendimento o Tribunal de Justiça da Bahia: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APELAÇÃO. AÇÃO ANULATÓRIA DE AUTO DE INFRAÇÃO. </w:t>
      </w:r>
      <w:r w:rsidRPr="006D5437">
        <w:rPr>
          <w:rFonts w:ascii="Cambria" w:eastAsia="Times New Roman" w:hAnsi="Cambria" w:cs="Times New Roman"/>
          <w:b/>
          <w:bCs/>
          <w:sz w:val="20"/>
          <w:szCs w:val="20"/>
          <w:u w:val="single"/>
          <w:lang w:eastAsia="pt-BR"/>
        </w:rPr>
        <w:t>SOCIEDADE MÉDICA. ISS</w:t>
      </w:r>
      <w:r w:rsidRPr="006D5437">
        <w:rPr>
          <w:rFonts w:ascii="Cambria" w:eastAsia="Times New Roman" w:hAnsi="Cambria" w:cs="Times New Roman"/>
          <w:b/>
          <w:bCs/>
          <w:sz w:val="20"/>
          <w:szCs w:val="20"/>
          <w:lang w:eastAsia="pt-BR"/>
        </w:rPr>
        <w:t>.</w:t>
      </w:r>
      <w:r w:rsidRPr="006D5437">
        <w:rPr>
          <w:rFonts w:ascii="Cambria" w:eastAsia="Times New Roman" w:hAnsi="Cambria" w:cs="Times New Roman"/>
          <w:sz w:val="20"/>
          <w:szCs w:val="20"/>
          <w:lang w:eastAsia="pt-BR"/>
        </w:rPr>
        <w:t xml:space="preserve"> INCIDÊNCIA SOBRE O FATURAMENTO MENSAL. INADMISSIBILIDADE. </w:t>
      </w:r>
      <w:r w:rsidRPr="006D5437">
        <w:rPr>
          <w:rFonts w:ascii="Cambria" w:eastAsia="Times New Roman" w:hAnsi="Cambria" w:cs="Times New Roman"/>
          <w:b/>
          <w:bCs/>
          <w:sz w:val="20"/>
          <w:szCs w:val="20"/>
          <w:u w:val="single"/>
          <w:lang w:eastAsia="pt-BR"/>
        </w:rPr>
        <w:t>SOCIEDADE CIVIL UNIPROFISSIONAL, PRESTADORA DE SERVIÇOS MÉDICOS, ENQUADRADOS NO ITEM 1 DA LISTA DE SERVIÇOS, SUJEITA AO RECOLHIMENTO NA FORMA PRIVILEGIADA, DEFINIDA NO § 3.º, DO ART. 9.º DO DECRETO LEI N.º 406/68</w:t>
      </w:r>
      <w:r w:rsidRPr="006D5437">
        <w:rPr>
          <w:rFonts w:ascii="Cambria" w:eastAsia="Times New Roman" w:hAnsi="Cambria" w:cs="Times New Roman"/>
          <w:sz w:val="20"/>
          <w:szCs w:val="20"/>
          <w:u w:val="single"/>
          <w:lang w:eastAsia="pt-BR"/>
        </w:rPr>
        <w:t>.</w:t>
      </w:r>
      <w:r w:rsidRPr="006D5437">
        <w:rPr>
          <w:rFonts w:ascii="Cambria" w:eastAsia="Times New Roman" w:hAnsi="Cambria" w:cs="Times New Roman"/>
          <w:sz w:val="20"/>
          <w:szCs w:val="20"/>
          <w:lang w:eastAsia="pt-BR"/>
        </w:rPr>
        <w:t xml:space="preserve"> PROCEDÊNCIA. SENTENÇA MANTIDA. RECURSO CONHECIDO E NÃO PROVIDO. 1. Cinge-se a controvérsia em saber se a contribuinte Apelada é, ou não, detentor do direito de recolhimento do ISS nos moldes do art. 9.º, §§ 1.º e 3.º do Decreto-Lei n.º 406/1968. 2. Trata-se de sociedade de médicos que explora o ofício intelectual de seus sócios, inexistindo elemento de empresa organização dos fatores para a produção ou a circulação de bens ou de serviços a desconfigurar o caráter pessoal dos serviços prestados</w:t>
      </w:r>
      <w:r w:rsidRPr="006D5437">
        <w:rPr>
          <w:rFonts w:ascii="Cambria" w:eastAsia="Times New Roman" w:hAnsi="Cambria" w:cs="Times New Roman"/>
          <w:b/>
          <w:bCs/>
          <w:sz w:val="20"/>
          <w:szCs w:val="20"/>
          <w:lang w:eastAsia="pt-BR"/>
        </w:rPr>
        <w:t xml:space="preserve">. </w:t>
      </w:r>
      <w:r w:rsidRPr="006D5437">
        <w:rPr>
          <w:rFonts w:ascii="Cambria" w:eastAsia="Times New Roman" w:hAnsi="Cambria" w:cs="Times New Roman"/>
          <w:b/>
          <w:bCs/>
          <w:sz w:val="20"/>
          <w:szCs w:val="20"/>
          <w:u w:val="single"/>
          <w:lang w:eastAsia="pt-BR"/>
        </w:rPr>
        <w:t>3.</w:t>
      </w:r>
      <w:r w:rsidRPr="006D5437">
        <w:rPr>
          <w:rFonts w:ascii="Cambria" w:eastAsia="Times New Roman" w:hAnsi="Cambria" w:cs="Times New Roman"/>
          <w:sz w:val="20"/>
          <w:szCs w:val="20"/>
          <w:u w:val="single"/>
          <w:lang w:eastAsia="pt-BR"/>
        </w:rPr>
        <w:t xml:space="preserve"> </w:t>
      </w:r>
      <w:r w:rsidRPr="006D5437">
        <w:rPr>
          <w:rFonts w:ascii="Cambria" w:eastAsia="Times New Roman" w:hAnsi="Cambria" w:cs="Times New Roman"/>
          <w:b/>
          <w:bCs/>
          <w:sz w:val="20"/>
          <w:szCs w:val="20"/>
          <w:u w:val="single"/>
          <w:lang w:eastAsia="pt-BR"/>
        </w:rPr>
        <w:t>O fato de ser adotada a sociedade limitada como o tipo societário não exclui o seu caráter uniprofissional, para fins de recolhimento do ISSQN sob a forma do art. 9.º, §§ 1.º e 3.º, do Decreto Lei n.º 406/68</w:t>
      </w:r>
      <w:r w:rsidRPr="006D5437">
        <w:rPr>
          <w:rFonts w:ascii="Cambria" w:eastAsia="Times New Roman" w:hAnsi="Cambria" w:cs="Times New Roman"/>
          <w:sz w:val="20"/>
          <w:szCs w:val="20"/>
          <w:u w:val="single"/>
          <w:lang w:eastAsia="pt-BR"/>
        </w:rPr>
        <w:t>.</w:t>
      </w:r>
      <w:r w:rsidRPr="006D5437">
        <w:rPr>
          <w:rFonts w:ascii="Cambria" w:eastAsia="Times New Roman" w:hAnsi="Cambria" w:cs="Times New Roman"/>
          <w:sz w:val="20"/>
          <w:szCs w:val="20"/>
          <w:lang w:eastAsia="pt-BR"/>
        </w:rPr>
        <w:t xml:space="preserve"> 4. Por sociedades uniprofissionais se entendem aquelas formadas apenas por profissionais da mesma área, que prestam serviço em conjunto, ainda que de forma organizada. Como no caso dos autos, em que todos os sócios da Impetrante são médicos, independentemente da forma em que disposto no contrato a respeito da distribuição dos lucros, da proporcionalidade das cotas e da responsabilidade dos sócios. 5.</w:t>
      </w:r>
      <w:r w:rsidRPr="006D5437">
        <w:rPr>
          <w:rFonts w:ascii="Cambria" w:eastAsia="Times New Roman" w:hAnsi="Cambria" w:cs="Times New Roman"/>
          <w:b/>
          <w:bCs/>
          <w:sz w:val="20"/>
          <w:szCs w:val="20"/>
          <w:lang w:eastAsia="pt-BR"/>
        </w:rPr>
        <w:t xml:space="preserve"> </w:t>
      </w:r>
      <w:r w:rsidRPr="006D5437">
        <w:rPr>
          <w:rFonts w:ascii="Cambria" w:eastAsia="Times New Roman" w:hAnsi="Cambria" w:cs="Times New Roman"/>
          <w:b/>
          <w:bCs/>
          <w:sz w:val="20"/>
          <w:szCs w:val="20"/>
          <w:u w:val="single"/>
          <w:lang w:eastAsia="pt-BR"/>
        </w:rPr>
        <w:t>O que a norma exige não é a responsabilidade ilimitada dos sócios, mas que a prestação dos serviços, que se dá em nome da sociedade, possua caráter pessoal, assumindo os sócios a responsabilização pelo exercício direto de suas atividades.</w:t>
      </w:r>
      <w:r w:rsidRPr="006D5437">
        <w:rPr>
          <w:rFonts w:ascii="Cambria" w:eastAsia="Times New Roman" w:hAnsi="Cambria" w:cs="Times New Roman"/>
          <w:sz w:val="20"/>
          <w:szCs w:val="20"/>
          <w:lang w:eastAsia="pt-BR"/>
        </w:rPr>
        <w:t xml:space="preserve"> 6. Dessa forma, o </w:t>
      </w:r>
      <w:r w:rsidRPr="006D5437">
        <w:rPr>
          <w:rFonts w:ascii="Cambria" w:eastAsia="Times New Roman" w:hAnsi="Cambria" w:cs="Times New Roman"/>
          <w:b/>
          <w:bCs/>
          <w:sz w:val="20"/>
          <w:szCs w:val="20"/>
          <w:u w:val="single"/>
          <w:lang w:eastAsia="pt-BR"/>
        </w:rPr>
        <w:t>ISS deve ser exigido de forma fixa e anual, e calculado por profissional habilitado ao exercício das atividades fins da sociedade.</w:t>
      </w:r>
      <w:r w:rsidRPr="006D5437">
        <w:rPr>
          <w:rFonts w:ascii="Cambria" w:eastAsia="Times New Roman" w:hAnsi="Cambria" w:cs="Times New Roman"/>
          <w:sz w:val="20"/>
          <w:szCs w:val="20"/>
          <w:lang w:eastAsia="pt-BR"/>
        </w:rPr>
        <w:t xml:space="preserve"> (</w:t>
      </w:r>
      <w:r w:rsidRPr="006D5437">
        <w:rPr>
          <w:rFonts w:ascii="Cambria" w:eastAsia="Times New Roman" w:hAnsi="Cambria" w:cs="Times New Roman"/>
          <w:b/>
          <w:bCs/>
          <w:sz w:val="20"/>
          <w:szCs w:val="20"/>
          <w:lang w:eastAsia="pt-BR"/>
        </w:rPr>
        <w:t>TJ-BA</w:t>
      </w:r>
      <w:r w:rsidRPr="006D5437">
        <w:rPr>
          <w:rFonts w:ascii="Cambria" w:eastAsia="Times New Roman" w:hAnsi="Cambria" w:cs="Times New Roman"/>
          <w:sz w:val="20"/>
          <w:szCs w:val="20"/>
          <w:lang w:eastAsia="pt-BR"/>
        </w:rPr>
        <w:t xml:space="preserve"> - APL: 00482538019958050001, Relator: Joanice Maria Guimarães de Jesus, Terceira Câmara Cível, Data de Publicação: 19/12/2018)</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lastRenderedPageBreak/>
        <w:t>Adema</w:t>
      </w:r>
      <w:r w:rsidRPr="003611CF">
        <w:rPr>
          <w:rFonts w:ascii="Cambria" w:eastAsia="Times New Roman" w:hAnsi="Cambria" w:cs="Times New Roman"/>
          <w:lang w:eastAsia="pt-BR"/>
        </w:rPr>
        <w:t>i</w:t>
      </w:r>
      <w:r w:rsidRPr="006D5437">
        <w:rPr>
          <w:rFonts w:ascii="Cambria" w:eastAsia="Times New Roman" w:hAnsi="Cambria" w:cs="Times New Roman"/>
          <w:lang w:eastAsia="pt-BR"/>
        </w:rPr>
        <w:t>s, em acordo com tal entendimento, o Tribunal de Justiça de São Paulo também seguiu esse raciocínio:</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APELAÇÃO. AÇÃO ORDINÁRIA. </w:t>
      </w:r>
      <w:r w:rsidRPr="006D5437">
        <w:rPr>
          <w:rFonts w:ascii="Cambria" w:eastAsia="Times New Roman" w:hAnsi="Cambria" w:cs="Times New Roman"/>
          <w:b/>
          <w:bCs/>
          <w:sz w:val="20"/>
          <w:szCs w:val="20"/>
          <w:u w:val="single"/>
          <w:lang w:eastAsia="pt-BR"/>
        </w:rPr>
        <w:t xml:space="preserve">ISSQN. Serviços médicos. </w:t>
      </w:r>
      <w:r w:rsidRPr="006D5437">
        <w:rPr>
          <w:rFonts w:ascii="Cambria" w:eastAsia="Times New Roman" w:hAnsi="Cambria" w:cs="Times New Roman"/>
          <w:sz w:val="20"/>
          <w:szCs w:val="20"/>
          <w:lang w:eastAsia="pt-BR"/>
        </w:rPr>
        <w:t xml:space="preserve">Desenquadramento do regime especial e autuação retroativa pelo não recolhimento do ISS no prazo regulamentar - </w:t>
      </w:r>
      <w:r w:rsidRPr="006D5437">
        <w:rPr>
          <w:rFonts w:ascii="Cambria" w:eastAsia="Times New Roman" w:hAnsi="Cambria" w:cs="Times New Roman"/>
          <w:b/>
          <w:bCs/>
          <w:sz w:val="20"/>
          <w:szCs w:val="20"/>
          <w:u w:val="single"/>
          <w:lang w:eastAsia="pt-BR"/>
        </w:rPr>
        <w:t>Sociedade uniprofissional sob a forma de limitada que, por si, não obsta à concessão do benefício – Preenchimento dos demais requisitos para recolhimento na forma fixa</w:t>
      </w:r>
      <w:r w:rsidRPr="006D5437">
        <w:rPr>
          <w:rFonts w:ascii="Cambria" w:eastAsia="Times New Roman" w:hAnsi="Cambria" w:cs="Times New Roman"/>
          <w:sz w:val="20"/>
          <w:szCs w:val="20"/>
          <w:lang w:eastAsia="pt-BR"/>
        </w:rPr>
        <w:t xml:space="preserve"> – DL 406/68, art. 9 - </w:t>
      </w:r>
      <w:r w:rsidRPr="006D5437">
        <w:rPr>
          <w:rFonts w:ascii="Cambria" w:eastAsia="Times New Roman" w:hAnsi="Cambria" w:cs="Times New Roman"/>
          <w:b/>
          <w:bCs/>
          <w:sz w:val="20"/>
          <w:szCs w:val="20"/>
          <w:lang w:eastAsia="pt-BR"/>
        </w:rPr>
        <w:t>Aplicabilidade do tratamento diferenciado</w:t>
      </w:r>
      <w:r w:rsidRPr="006D5437">
        <w:rPr>
          <w:rFonts w:ascii="Cambria" w:eastAsia="Times New Roman" w:hAnsi="Cambria" w:cs="Times New Roman"/>
          <w:sz w:val="20"/>
          <w:szCs w:val="20"/>
          <w:lang w:eastAsia="pt-BR"/>
        </w:rPr>
        <w:t xml:space="preserve"> – </w:t>
      </w:r>
      <w:r w:rsidRPr="006D5437">
        <w:rPr>
          <w:rFonts w:ascii="Cambria" w:eastAsia="Times New Roman" w:hAnsi="Cambria" w:cs="Times New Roman"/>
          <w:i/>
          <w:iCs/>
          <w:sz w:val="20"/>
          <w:szCs w:val="20"/>
          <w:lang w:eastAsia="pt-BR"/>
        </w:rPr>
        <w:t>Precedentes do STJ</w:t>
      </w:r>
      <w:r w:rsidRPr="006D5437">
        <w:rPr>
          <w:rFonts w:ascii="Cambria" w:eastAsia="Times New Roman" w:hAnsi="Cambria" w:cs="Times New Roman"/>
          <w:sz w:val="20"/>
          <w:szCs w:val="20"/>
          <w:lang w:eastAsia="pt-BR"/>
        </w:rPr>
        <w:t xml:space="preserve"> – Sentença mantida com majoração da verba honorária - CPC, art. 85, §11 - Recurso desprovido. (</w:t>
      </w:r>
      <w:r w:rsidRPr="006D5437">
        <w:rPr>
          <w:rFonts w:ascii="Cambria" w:eastAsia="Times New Roman" w:hAnsi="Cambria" w:cs="Times New Roman"/>
          <w:b/>
          <w:bCs/>
          <w:sz w:val="20"/>
          <w:szCs w:val="20"/>
          <w:lang w:eastAsia="pt-BR"/>
        </w:rPr>
        <w:t>TJ-SP</w:t>
      </w:r>
      <w:r w:rsidRPr="006D5437">
        <w:rPr>
          <w:rFonts w:ascii="Cambria" w:eastAsia="Times New Roman" w:hAnsi="Cambria" w:cs="Times New Roman"/>
          <w:sz w:val="20"/>
          <w:szCs w:val="20"/>
          <w:lang w:eastAsia="pt-BR"/>
        </w:rPr>
        <w:t xml:space="preserve"> - AC: 10400079120198260053 SP 1040007-91.2019.8.26.0053, Relator: Octavio Machado de Barros, </w:t>
      </w:r>
      <w:r w:rsidRPr="006D5437">
        <w:rPr>
          <w:rFonts w:ascii="Cambria" w:eastAsia="Times New Roman" w:hAnsi="Cambria" w:cs="Times New Roman"/>
          <w:i/>
          <w:iCs/>
          <w:sz w:val="20"/>
          <w:szCs w:val="20"/>
          <w:lang w:eastAsia="pt-BR"/>
        </w:rPr>
        <w:t>Data de Julgamento: 17/09/2020</w:t>
      </w:r>
      <w:r w:rsidRPr="006D5437">
        <w:rPr>
          <w:rFonts w:ascii="Cambria" w:eastAsia="Times New Roman" w:hAnsi="Cambria" w:cs="Times New Roman"/>
          <w:sz w:val="20"/>
          <w:szCs w:val="20"/>
          <w:lang w:eastAsia="pt-BR"/>
        </w:rPr>
        <w:t>, 14ª Câmara de Direito Público, Data de Publicação: 18/09/2020)</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Ao destrinchar o acórdão acima, em seu inteiro teor, evidencia-se que o voto do Desembargador Relator substância a tese de que a Impetrante cumpre todos os requisitos para o usufruto do ISS Fixo:</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“Logo, </w:t>
      </w:r>
      <w:r w:rsidRPr="006D5437">
        <w:rPr>
          <w:rFonts w:ascii="Cambria" w:eastAsia="Times New Roman" w:hAnsi="Cambria" w:cs="Times New Roman"/>
          <w:b/>
          <w:bCs/>
          <w:sz w:val="20"/>
          <w:szCs w:val="20"/>
          <w:u w:val="single"/>
          <w:lang w:eastAsia="pt-BR"/>
        </w:rPr>
        <w:t>em se tratando de serviços profissionais prestados diretamente pelos sócios, cuja responsabilidade é de natureza pessoal, a exemplo da sociedade de médicos, sem que a estrutura organizacional e administrativa se sobreponha às prestação individual dos serviços profissionais, forçoso é reconhecer o direito da sociedade impetrante à tributação prevista no art. 9º, parágrafos 1º e 3º, do Decreto-Lei 406/68</w:t>
      </w:r>
      <w:r w:rsidRPr="006D5437">
        <w:rPr>
          <w:rFonts w:ascii="Cambria" w:eastAsia="Times New Roman" w:hAnsi="Cambria" w:cs="Times New Roman"/>
          <w:sz w:val="20"/>
          <w:szCs w:val="20"/>
          <w:lang w:eastAsia="pt-BR"/>
        </w:rPr>
        <w:t xml:space="preserve"> e, em contrapartida, a ilegitimidade do Auto de Infração nº 006.754.219-0.”</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 xml:space="preserve">Dessa forma, resta evidente que a jurisprudência pátria considera que, para a concessão do ISS fixo, pouco importa a forma de organização empresária da sociedade, sendo apenas </w:t>
      </w:r>
      <w:r w:rsidRPr="006D5437">
        <w:rPr>
          <w:rFonts w:ascii="Cambria" w:eastAsia="Times New Roman" w:hAnsi="Cambria" w:cs="Times New Roman"/>
          <w:shd w:val="clear" w:color="auto" w:fill="FFFFFF"/>
          <w:lang w:eastAsia="pt-BR"/>
        </w:rPr>
        <w:t>um mero aspecto burocrático.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hd w:val="clear" w:color="auto" w:fill="FFFFFF"/>
          <w:lang w:eastAsia="pt-BR"/>
        </w:rPr>
        <w:t>Tendo em vista que</w:t>
      </w:r>
      <w:r w:rsidRPr="006D5437">
        <w:rPr>
          <w:rFonts w:ascii="Cambria" w:eastAsia="Times New Roman" w:hAnsi="Cambria" w:cs="Times New Roman"/>
          <w:lang w:eastAsia="pt-BR"/>
        </w:rPr>
        <w:t>, no caso em questão, o exercício da atividade tem como alicerce a pessoalidade do prestador de serviço, ou seja, dos médicos, tal pessoalidade, bem como as consequências que dela derivam, é plenamente exequível o enquadramento da Impetrante no referido regime. Consoante a tal entendimento, o Tribunal de Justiça do Rio Grande do Sul julgou:</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APELAÇÃO CÍVEL. DIREITO TRIBUTÁRIO. EMBARGOS À EXECUÇÃO FISCAL. ISS PRIVILEGIADO. SOCIEDADE UNIPROFISSIONAL (AGRÔNOMOS). REGIME TRIBUTÁRIO ESPECIAL CONFIGURADO. 1. A tributação privilegiada do ISS, na forma do art. 9°, §§ 1° e 3°, do Decreto-Lei n. 406/68, está condicionada à existência de sociedade uniprofissional, tendo por objeto social a prestação de serviço especializado (exploração da respectiva profissão intelectual), com responsabilidade pessoal dos sócios e sem caráter empresarial. A forma societária limitada não é elemento preponderante para definir o sistema de tributação do ISS, exigindo-se que o objeto social defina a sociedade como simples (e não empresária) e os profissionais exerçam direta e pessoalmente a prestação dos serviços, para fins de deferimento do regime tributário especial. 2</w:t>
      </w:r>
      <w:r w:rsidRPr="006D5437">
        <w:rPr>
          <w:rFonts w:ascii="Cambria" w:eastAsia="Times New Roman" w:hAnsi="Cambria" w:cs="Times New Roman"/>
          <w:b/>
          <w:bCs/>
          <w:sz w:val="20"/>
          <w:szCs w:val="20"/>
          <w:u w:val="single"/>
          <w:lang w:eastAsia="pt-BR"/>
        </w:rPr>
        <w:t xml:space="preserve">. No caso concreto, o contrato social demonstra que a prestação do serviço, ainda que por intermédio da sociedade, é feita pelos próprios sócios em caráter pessoal, e não empresarial, ambos profissionais da mesma categoria, agrônomos, habilitados ao exercício das atividades que constituem o objeto da sociedade. Portanto, resta comprovado que a embargante atende aos requisitos legais, a saber, (a) caráter uniprofissional, ou seja, os sócios, </w:t>
      </w:r>
      <w:r w:rsidRPr="006D5437">
        <w:rPr>
          <w:rFonts w:ascii="Cambria" w:eastAsia="Times New Roman" w:hAnsi="Cambria" w:cs="Times New Roman"/>
          <w:b/>
          <w:bCs/>
          <w:sz w:val="20"/>
          <w:szCs w:val="20"/>
          <w:u w:val="single"/>
          <w:lang w:eastAsia="pt-BR"/>
        </w:rPr>
        <w:lastRenderedPageBreak/>
        <w:t xml:space="preserve">devidamente habilitados, desempenham atribuições da mesma categoria profissional; (b) caráter de pessoalidade, assumindo os sócios a responsabilidade pelo exercício direto de </w:t>
      </w:r>
      <w:r w:rsidRPr="006D5437">
        <w:rPr>
          <w:rFonts w:ascii="Cambria" w:eastAsia="Times New Roman" w:hAnsi="Cambria" w:cs="Times New Roman"/>
          <w:sz w:val="20"/>
          <w:szCs w:val="20"/>
          <w:lang w:eastAsia="pt-BR"/>
        </w:rPr>
        <w:t>suas atividades; e (c) ausência de caráter empresarial. Manutenção da sentença. NEGARAM PROVIMENTO AO RECURSO. UNÂNIME. (Apelação Cível Nº 70078279049, Segunda Câmara Cível, Tribunal de Justiça do RS, Relator: Laura Louzada Jaccottet, Julgado em 28/11/2018)” (grifei)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Converge, ainda, o Tribunal de Justiça de Rondônia, o qual deixa evidente que a concessão do ISS Fixo não deve ter como baliza a ordenação societária, uma vez que a forma de organização empresária não altera o modo em que o serviço é prestado:</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Apelação. Mandado de segurança. </w:t>
      </w:r>
      <w:r w:rsidRPr="006D5437">
        <w:rPr>
          <w:rFonts w:ascii="Cambria" w:eastAsia="Times New Roman" w:hAnsi="Cambria" w:cs="Times New Roman"/>
          <w:b/>
          <w:bCs/>
          <w:sz w:val="20"/>
          <w:szCs w:val="20"/>
          <w:u w:val="single"/>
          <w:lang w:eastAsia="pt-BR"/>
        </w:rPr>
        <w:t>ISSQN. Clínica médica. Quadro societário composto por médicos. Recolhimento do ISSQN pela alíquota fixa. Regime do artigo 9º, § 3º, do Decreto-lei 406/1968. Serviço prestado em caráter pessoal e em nome da sociedade</w:t>
      </w:r>
      <w:r w:rsidRPr="006D5437">
        <w:rPr>
          <w:rFonts w:ascii="Cambria" w:eastAsia="Times New Roman" w:hAnsi="Cambria" w:cs="Times New Roman"/>
          <w:b/>
          <w:bCs/>
          <w:sz w:val="20"/>
          <w:szCs w:val="20"/>
          <w:lang w:eastAsia="pt-BR"/>
        </w:rPr>
        <w:t>.</w:t>
      </w:r>
      <w:r w:rsidRPr="006D5437">
        <w:rPr>
          <w:rFonts w:ascii="Cambria" w:eastAsia="Times New Roman" w:hAnsi="Cambria" w:cs="Times New Roman"/>
          <w:sz w:val="20"/>
          <w:szCs w:val="20"/>
          <w:lang w:eastAsia="pt-BR"/>
        </w:rPr>
        <w:t xml:space="preserve"> Apelo provido. 1 - Faz jus ao tratamento diferenciado previsto no artigo 9º, § 3º, do Decreto-lei 406/68, as sociedades uniprofissionais que não possuam caráter empresarial. 2 - </w:t>
      </w:r>
      <w:r w:rsidRPr="006D5437">
        <w:rPr>
          <w:rFonts w:ascii="Cambria" w:eastAsia="Times New Roman" w:hAnsi="Cambria" w:cs="Times New Roman"/>
          <w:b/>
          <w:bCs/>
          <w:sz w:val="20"/>
          <w:szCs w:val="20"/>
          <w:u w:val="single"/>
          <w:lang w:eastAsia="pt-BR"/>
        </w:rPr>
        <w:t>A forma societária limitada não é relevante para impedir a concessão do regime tributário diferenciado pretendido, conforme decidido pelo STJ no EAREsp 31.084/MS, de abril de 2021</w:t>
      </w:r>
      <w:r w:rsidRPr="006D5437">
        <w:rPr>
          <w:rFonts w:ascii="Cambria" w:eastAsia="Times New Roman" w:hAnsi="Cambria" w:cs="Times New Roman"/>
          <w:sz w:val="20"/>
          <w:szCs w:val="20"/>
          <w:lang w:eastAsia="pt-BR"/>
        </w:rPr>
        <w:t>. 3 - Apelo conhecido e provido. (</w:t>
      </w:r>
      <w:r w:rsidRPr="006D5437">
        <w:rPr>
          <w:rFonts w:ascii="Cambria" w:eastAsia="Times New Roman" w:hAnsi="Cambria" w:cs="Times New Roman"/>
          <w:b/>
          <w:bCs/>
          <w:sz w:val="20"/>
          <w:szCs w:val="20"/>
          <w:lang w:eastAsia="pt-BR"/>
        </w:rPr>
        <w:t>TJ-RO</w:t>
      </w:r>
      <w:r w:rsidRPr="006D5437">
        <w:rPr>
          <w:rFonts w:ascii="Cambria" w:eastAsia="Times New Roman" w:hAnsi="Cambria" w:cs="Times New Roman"/>
          <w:sz w:val="20"/>
          <w:szCs w:val="20"/>
          <w:lang w:eastAsia="pt-BR"/>
        </w:rPr>
        <w:t xml:space="preserve"> - AC: 70371902220198220001 RO 7037190-22.2019.822.0001, Data de Julgamento: 18/11/2021)</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Diante do exposto, compreende-se que não se pode denegar o benefício do ISS fixo apenas com base no arranjo societário da impetrante, uma vez que tal arranjo obedece somente a uma lógica formal, que se demonstra indiferente enquanto ao serviço prestado.</w:t>
      </w:r>
    </w:p>
    <w:p w:rsidR="001919B0" w:rsidRPr="006D5437" w:rsidRDefault="001919B0" w:rsidP="001919B0">
      <w:pPr>
        <w:numPr>
          <w:ilvl w:val="0"/>
          <w:numId w:val="9"/>
        </w:numPr>
        <w:spacing w:line="240" w:lineRule="auto"/>
        <w:ind w:left="3479"/>
        <w:jc w:val="both"/>
        <w:textAlignment w:val="baseline"/>
        <w:rPr>
          <w:rFonts w:ascii="Cambria" w:eastAsia="Times New Roman" w:hAnsi="Cambria" w:cs="Times New Roman"/>
          <w:b/>
          <w:bCs/>
          <w:lang w:eastAsia="pt-BR"/>
        </w:rPr>
      </w:pPr>
      <w:r w:rsidRPr="006D5437">
        <w:rPr>
          <w:rFonts w:ascii="Cambria" w:eastAsia="Times New Roman" w:hAnsi="Cambria" w:cs="Times New Roman"/>
          <w:b/>
          <w:bCs/>
          <w:lang w:eastAsia="pt-BR"/>
        </w:rPr>
        <w:t>Conclusão</w:t>
      </w:r>
      <w:r w:rsidRPr="006D5437">
        <w:rPr>
          <w:rFonts w:ascii="Cambria" w:eastAsia="Times New Roman" w:hAnsi="Cambria" w:cs="Times New Roman"/>
          <w:b/>
          <w:bCs/>
          <w:shd w:val="clear" w:color="auto" w:fill="FFFFFF"/>
          <w:lang w:eastAsia="pt-BR"/>
        </w:rPr>
        <w:t>.</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Após extensa exposição, resta cristalino que apenas os requisitos previstos pelo DL nº 406/68, ou que dele decorreram, podem ser utilizados pelas municipalidades para concessão do ISS fixo, sob pena de grave violação ao princípio da legalidade tributária.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Fazem jus, portanto, ao recolhimento de ISS por alíquota fixa incidente sobre o número de profissionais, as sociedades compostas por sócios habilitados para o exercício de alguma das funções previstas no §3º do art. 9º do DL nº 406/68, que prestam serviços de forma pessoal e individualizada, independentemente da composição societária e do número de profissionais.</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Diante do exposto, resta claro a possibilidade da Impetrante utilizar do regime de tributação privilegiada do ISS, devido a sua natureza uniprofissional, de responsabilização pessoal dos sócios, nos termos do § 1º, art. 9, do DL 406/1968. </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r w:rsidRPr="006D5437">
        <w:rPr>
          <w:rFonts w:ascii="Times New Roman" w:eastAsia="Times New Roman" w:hAnsi="Times New Roman" w:cs="Times New Roman"/>
          <w:sz w:val="24"/>
          <w:szCs w:val="24"/>
          <w:lang w:eastAsia="pt-BR"/>
        </w:rPr>
        <w:br/>
      </w:r>
    </w:p>
    <w:p w:rsidR="001919B0" w:rsidRPr="006D5437" w:rsidRDefault="001919B0" w:rsidP="001919B0">
      <w:pPr>
        <w:numPr>
          <w:ilvl w:val="0"/>
          <w:numId w:val="10"/>
        </w:numPr>
        <w:spacing w:line="240" w:lineRule="auto"/>
        <w:ind w:left="2628"/>
        <w:jc w:val="both"/>
        <w:textAlignment w:val="baseline"/>
        <w:rPr>
          <w:rFonts w:ascii="Cambria" w:eastAsia="Times New Roman" w:hAnsi="Cambria" w:cs="Times New Roman"/>
          <w:lang w:eastAsia="pt-BR"/>
        </w:rPr>
      </w:pPr>
      <w:r w:rsidRPr="006D5437">
        <w:rPr>
          <w:rFonts w:ascii="Cambria" w:eastAsia="Times New Roman" w:hAnsi="Cambria" w:cs="Times New Roman"/>
          <w:b/>
          <w:bCs/>
          <w:lang w:eastAsia="pt-BR"/>
        </w:rPr>
        <w:t>DA CONCESSÃO DA MEDIDA LIMINAR</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A concessão da liminar nos autos do Mandado de Segurança decorre da previsão do art. 7º, III da Lei nº 12.016/09, “</w:t>
      </w:r>
      <w:r w:rsidRPr="006D5437">
        <w:rPr>
          <w:rFonts w:ascii="Cambria" w:eastAsia="Times New Roman" w:hAnsi="Cambria" w:cs="Times New Roman"/>
          <w:i/>
          <w:iCs/>
          <w:lang w:eastAsia="pt-BR"/>
        </w:rPr>
        <w:t>in verbis”</w:t>
      </w:r>
      <w:r w:rsidRPr="006D5437">
        <w:rPr>
          <w:rFonts w:ascii="Cambria" w:eastAsia="Times New Roman" w:hAnsi="Cambria" w:cs="Times New Roman"/>
          <w:lang w:eastAsia="pt-BR"/>
        </w:rPr>
        <w:t>:</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Art. 7  Ao despachar a inicial, o juiz ordenará: (...)</w:t>
      </w:r>
    </w:p>
    <w:p w:rsidR="001919B0" w:rsidRPr="006D5437" w:rsidRDefault="001919B0" w:rsidP="001919B0">
      <w:pPr>
        <w:spacing w:line="240" w:lineRule="auto"/>
        <w:ind w:left="2268"/>
        <w:jc w:val="both"/>
        <w:rPr>
          <w:rFonts w:ascii="Times New Roman" w:eastAsia="Times New Roman" w:hAnsi="Times New Roman" w:cs="Times New Roman"/>
          <w:sz w:val="24"/>
          <w:szCs w:val="24"/>
          <w:lang w:eastAsia="pt-BR"/>
        </w:rPr>
      </w:pPr>
      <w:r w:rsidRPr="006D5437">
        <w:rPr>
          <w:rFonts w:ascii="Cambria" w:eastAsia="Times New Roman" w:hAnsi="Cambria" w:cs="Times New Roman"/>
          <w:sz w:val="20"/>
          <w:szCs w:val="20"/>
          <w:lang w:eastAsia="pt-BR"/>
        </w:rPr>
        <w:t xml:space="preserve">III - que se suspenda o ato que deu motivo ao pedido, quando houver fundamento relevante e do ato impugnado puder resultar a ineficácia da </w:t>
      </w:r>
      <w:r w:rsidRPr="006D5437">
        <w:rPr>
          <w:rFonts w:ascii="Cambria" w:eastAsia="Times New Roman" w:hAnsi="Cambria" w:cs="Times New Roman"/>
          <w:sz w:val="20"/>
          <w:szCs w:val="20"/>
          <w:lang w:eastAsia="pt-BR"/>
        </w:rPr>
        <w:lastRenderedPageBreak/>
        <w:t>medida, caso seja finalmente deferida, sendo facultado exigir do impetrante caução, fiança ou depósito, com o objetivo de assegurar o ressarcimento à pessoa jurídica.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i/>
          <w:iCs/>
          <w:lang w:eastAsia="pt-BR"/>
        </w:rPr>
        <w:t>In casu</w:t>
      </w:r>
      <w:r w:rsidRPr="006D5437">
        <w:rPr>
          <w:rFonts w:ascii="Cambria" w:eastAsia="Times New Roman" w:hAnsi="Cambria" w:cs="Times New Roman"/>
          <w:lang w:eastAsia="pt-BR"/>
        </w:rPr>
        <w:t xml:space="preserve">, busca-se a concessão da segurança liminar, </w:t>
      </w:r>
      <w:r w:rsidRPr="006D5437">
        <w:rPr>
          <w:rFonts w:ascii="Cambria" w:eastAsia="Times New Roman" w:hAnsi="Cambria" w:cs="Times New Roman"/>
          <w:i/>
          <w:iCs/>
          <w:lang w:eastAsia="pt-BR"/>
        </w:rPr>
        <w:t xml:space="preserve">inaudita altera pars, </w:t>
      </w:r>
      <w:r w:rsidRPr="006D5437">
        <w:rPr>
          <w:rFonts w:ascii="Cambria" w:eastAsia="Times New Roman" w:hAnsi="Cambria" w:cs="Times New Roman"/>
          <w:lang w:eastAsia="pt-BR"/>
        </w:rPr>
        <w:t xml:space="preserve">para i) suspender o ato de desenquadramento da Impetrante do regime de incidência de ISS das sociedades profissionais e autoriza-la a recolher o imposto por meio de alíquotas aplicada sobre um valor de receita presumida, de acordo com o art. </w:t>
      </w:r>
      <w:r w:rsidRPr="00E2117B">
        <w:rPr>
          <w:rFonts w:ascii="Cambria" w:eastAsia="Times New Roman" w:hAnsi="Cambria" w:cs="Times New Roman"/>
          <w:lang w:eastAsia="pt-BR"/>
        </w:rPr>
        <w:t>[ARTIGO DA LEI MUNICIPAL]</w:t>
      </w:r>
      <w:r w:rsidRPr="006D5437">
        <w:rPr>
          <w:rFonts w:ascii="Cambria" w:eastAsia="Times New Roman" w:hAnsi="Cambria" w:cs="Times New Roman"/>
          <w:lang w:eastAsia="pt-BR"/>
        </w:rPr>
        <w:t>; ii) determinar que autoridade coatora se abstenha de cobrar os valores e suspenda a exigibilidade dos créditos decorrentes de tal exclusão e iii) não imponha óbices à Certidão de Regularidade Fiscal ou inclua a Impetrante no CADIN ou nos protestos de títulos sob tal fundamento.</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Para tanto, cumpre evidenciar a presença dos requisitos autorizadores da concessão de segurança liminar, nos termos do art. 7, inciso III, da Lei 12.016/09, quais sejam, o fundamento relevante do direito e o perigo de dano na demora da prestação jurisdicional.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Com efeito, o requisito do fundamento relevante do direito se configura no direito da Impetrante ter o ISS calculado por meio de alíquotas aplicada sobre um valor de receita presumida, por se tratar de sociedade de profissionais com responsabilidade pessoal. Nesse sentido, merece especial destaque o entendimento firmado pelo Egrégio STF no EAREsp nº 31084/MS, onde restou consolidado que a forma de constituição das sociedades não obsta o enquadramento no regime privilegiado de tributação.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Demais disso, vislumbra-se com clarividência o fundado receio de dano de difícil reparação se não concedida a medida liminar pleiteada, tendo em vista que o recolhimento do respectivo tributo, apurados sobre base de cálculo do preço do serviço, onera demasiadamente o custo tributário de sua atividade empresarial, comprometendo, inclusive, a adimplência de suas obrigações trabalhistas, contratuais e tributárias, ensejando, por conseguinte, risco de continuidade regular de sua atividade, ao ser-lhe negado benefício fiscal nitidamente legítimo.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Insta salientar que sem um provimento jurisdicional que autorize o recolhimento nesses moldes, há o risco de sofrer autuações das autoridades coatoras para exigir o recolhimento complementar das exações, estando sujeita a constrições patrimoniais e inscrições em dívida ativa.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Ressalta-se, ainda, a total ausência de perigo de irreversibilidade do provimento judicial antecipatório, tendo em vista que caso se conclua pela exigência do ISS com base no preço do serviço, o Município poderia proceder a cobrança dos créditos tributários devidos, mediante o procedimento estabelecido por lei.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Resta devidamente comprovada, portanto, a existência do fundamento relevante do direito e do perigo da demora na obtenção da prestação jurisdicional, nos termos do art. 7, inciso III, da Lei 12.016/09. </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r w:rsidRPr="006D5437">
        <w:rPr>
          <w:rFonts w:ascii="Times New Roman" w:eastAsia="Times New Roman" w:hAnsi="Times New Roman" w:cs="Times New Roman"/>
          <w:sz w:val="24"/>
          <w:szCs w:val="24"/>
          <w:lang w:eastAsia="pt-BR"/>
        </w:rPr>
        <w:br/>
      </w:r>
    </w:p>
    <w:p w:rsidR="001919B0" w:rsidRPr="006D5437" w:rsidRDefault="001919B0" w:rsidP="001919B0">
      <w:pPr>
        <w:numPr>
          <w:ilvl w:val="0"/>
          <w:numId w:val="11"/>
        </w:numPr>
        <w:spacing w:line="240" w:lineRule="auto"/>
        <w:ind w:left="2628"/>
        <w:jc w:val="both"/>
        <w:textAlignment w:val="baseline"/>
        <w:rPr>
          <w:rFonts w:ascii="Cambria" w:eastAsia="Times New Roman" w:hAnsi="Cambria" w:cs="Times New Roman"/>
          <w:b/>
          <w:bCs/>
          <w:lang w:eastAsia="pt-BR"/>
        </w:rPr>
      </w:pPr>
      <w:r w:rsidRPr="006D5437">
        <w:rPr>
          <w:rFonts w:ascii="Cambria" w:eastAsia="Times New Roman" w:hAnsi="Cambria" w:cs="Times New Roman"/>
          <w:b/>
          <w:bCs/>
          <w:lang w:eastAsia="pt-BR"/>
        </w:rPr>
        <w:t>DOS PEDIDOS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Diante do exposto, requer-se: </w:t>
      </w:r>
    </w:p>
    <w:p w:rsidR="001919B0" w:rsidRPr="006D5437" w:rsidRDefault="001919B0" w:rsidP="001919B0">
      <w:pPr>
        <w:numPr>
          <w:ilvl w:val="0"/>
          <w:numId w:val="12"/>
        </w:numPr>
        <w:spacing w:line="240" w:lineRule="auto"/>
        <w:jc w:val="both"/>
        <w:textAlignment w:val="baseline"/>
        <w:rPr>
          <w:rFonts w:ascii="Cambria" w:eastAsia="Times New Roman" w:hAnsi="Cambria" w:cs="Times New Roman"/>
          <w:lang w:eastAsia="pt-BR"/>
        </w:rPr>
      </w:pPr>
      <w:r w:rsidRPr="006D5437">
        <w:rPr>
          <w:rFonts w:ascii="Cambria" w:eastAsia="Times New Roman" w:hAnsi="Cambria" w:cs="Times New Roman"/>
          <w:lang w:eastAsia="pt-BR"/>
        </w:rPr>
        <w:t xml:space="preserve">A </w:t>
      </w:r>
      <w:r w:rsidRPr="006D5437">
        <w:rPr>
          <w:rFonts w:ascii="Cambria" w:eastAsia="Times New Roman" w:hAnsi="Cambria" w:cs="Times New Roman"/>
          <w:b/>
          <w:bCs/>
          <w:lang w:eastAsia="pt-BR"/>
        </w:rPr>
        <w:t>CONCESSÃO DA MEDIDA LIMINAR</w:t>
      </w:r>
      <w:r w:rsidRPr="006D5437">
        <w:rPr>
          <w:rFonts w:ascii="Cambria" w:eastAsia="Times New Roman" w:hAnsi="Cambria" w:cs="Times New Roman"/>
          <w:lang w:eastAsia="pt-BR"/>
        </w:rPr>
        <w:t xml:space="preserve"> para autorizar a Impetrante a recolher o ISS fixo, calculado por meio de alíquotas aplicada sobre um valor de receita presumida, de </w:t>
      </w:r>
      <w:r w:rsidRPr="006D5437">
        <w:rPr>
          <w:rFonts w:ascii="Cambria" w:eastAsia="Times New Roman" w:hAnsi="Cambria" w:cs="Times New Roman"/>
          <w:lang w:eastAsia="pt-BR"/>
        </w:rPr>
        <w:lastRenderedPageBreak/>
        <w:t>acordo com o § 3º do art. 9 do DL nº 406/68, e art</w:t>
      </w:r>
      <w:r w:rsidRPr="00E2117B">
        <w:rPr>
          <w:rFonts w:ascii="Cambria" w:eastAsia="Times New Roman" w:hAnsi="Cambria" w:cs="Times New Roman"/>
          <w:lang w:eastAsia="pt-BR"/>
        </w:rPr>
        <w:t xml:space="preserve"> [ART. DA LEI MUNICIPAL]</w:t>
      </w:r>
      <w:r w:rsidRPr="006D5437">
        <w:rPr>
          <w:rFonts w:ascii="Cambria" w:eastAsia="Times New Roman" w:hAnsi="Cambria" w:cs="Times New Roman"/>
          <w:lang w:eastAsia="pt-BR"/>
        </w:rPr>
        <w:t>, determinando-se, ainda, que a autoridade coatora abstenha-se de adotar quaisquer espécies de medidas restritivas em virtude do recolhimento efetuado conforme o provimento judicial antecipatório; </w:t>
      </w:r>
    </w:p>
    <w:p w:rsidR="001919B0" w:rsidRPr="006D5437" w:rsidRDefault="001919B0" w:rsidP="001919B0">
      <w:pPr>
        <w:numPr>
          <w:ilvl w:val="0"/>
          <w:numId w:val="12"/>
        </w:numPr>
        <w:spacing w:line="240" w:lineRule="auto"/>
        <w:jc w:val="both"/>
        <w:textAlignment w:val="baseline"/>
        <w:rPr>
          <w:rFonts w:ascii="Cambria" w:eastAsia="Times New Roman" w:hAnsi="Cambria" w:cs="Times New Roman"/>
          <w:lang w:eastAsia="pt-BR"/>
        </w:rPr>
      </w:pPr>
      <w:r w:rsidRPr="006D5437">
        <w:rPr>
          <w:rFonts w:ascii="Cambria" w:eastAsia="Times New Roman" w:hAnsi="Cambria" w:cs="Times New Roman"/>
          <w:lang w:eastAsia="pt-BR"/>
        </w:rPr>
        <w:t xml:space="preserve">Sejam </w:t>
      </w:r>
      <w:r w:rsidRPr="006D5437">
        <w:rPr>
          <w:rFonts w:ascii="Cambria" w:eastAsia="Times New Roman" w:hAnsi="Cambria" w:cs="Times New Roman"/>
          <w:b/>
          <w:bCs/>
          <w:lang w:eastAsia="pt-BR"/>
        </w:rPr>
        <w:t>JULGADOS PROCEDENTES OS PEDIDOS ORA FORMULADOS</w:t>
      </w:r>
      <w:r w:rsidRPr="006D5437">
        <w:rPr>
          <w:rFonts w:ascii="Cambria" w:eastAsia="Times New Roman" w:hAnsi="Cambria" w:cs="Times New Roman"/>
          <w:lang w:eastAsia="pt-BR"/>
        </w:rPr>
        <w:t xml:space="preserve">, concedendo definitivamente a segurança, a fim de confirmar a liminar concedida para declarar o direito da Impetrante de recolher o ISS fixo, com base em valor de receita presumida, nos termos do </w:t>
      </w:r>
      <w:r w:rsidRPr="006D5437">
        <w:rPr>
          <w:rFonts w:ascii="Cambria" w:eastAsia="Times New Roman" w:hAnsi="Cambria" w:cs="Times New Roman"/>
          <w:u w:val="single"/>
          <w:lang w:eastAsia="pt-BR"/>
        </w:rPr>
        <w:t>§ 3º do art. 9 do DL nº 406/68</w:t>
      </w:r>
      <w:r w:rsidRPr="006D5437">
        <w:rPr>
          <w:rFonts w:ascii="Cambria" w:eastAsia="Times New Roman" w:hAnsi="Cambria" w:cs="Times New Roman"/>
          <w:lang w:eastAsia="pt-BR"/>
        </w:rPr>
        <w:t xml:space="preserve">, e do </w:t>
      </w:r>
      <w:r w:rsidRPr="006D5437">
        <w:rPr>
          <w:rFonts w:ascii="Cambria" w:eastAsia="Times New Roman" w:hAnsi="Cambria" w:cs="Times New Roman"/>
          <w:u w:val="single"/>
          <w:lang w:eastAsia="pt-BR"/>
        </w:rPr>
        <w:t xml:space="preserve">art. </w:t>
      </w:r>
      <w:r w:rsidRPr="00E2117B">
        <w:rPr>
          <w:rFonts w:ascii="Cambria" w:eastAsia="Times New Roman" w:hAnsi="Cambria" w:cs="Times New Roman"/>
          <w:u w:val="single"/>
          <w:lang w:eastAsia="pt-BR"/>
        </w:rPr>
        <w:t>[ART. DA LEI MUNICIPAL]</w:t>
      </w:r>
      <w:r w:rsidRPr="006D5437">
        <w:rPr>
          <w:rFonts w:ascii="Cambria" w:eastAsia="Times New Roman" w:hAnsi="Cambria" w:cs="Times New Roman"/>
          <w:lang w:eastAsia="pt-BR"/>
        </w:rPr>
        <w:t>; </w:t>
      </w:r>
    </w:p>
    <w:p w:rsidR="001919B0" w:rsidRPr="006D5437" w:rsidRDefault="001919B0" w:rsidP="001919B0">
      <w:pPr>
        <w:numPr>
          <w:ilvl w:val="0"/>
          <w:numId w:val="12"/>
        </w:numPr>
        <w:spacing w:line="240" w:lineRule="auto"/>
        <w:jc w:val="both"/>
        <w:textAlignment w:val="baseline"/>
        <w:rPr>
          <w:rFonts w:ascii="Cambria" w:eastAsia="Times New Roman" w:hAnsi="Cambria" w:cs="Times New Roman"/>
          <w:lang w:eastAsia="pt-BR"/>
        </w:rPr>
      </w:pPr>
      <w:r w:rsidRPr="006D5437">
        <w:rPr>
          <w:rFonts w:ascii="Cambria" w:eastAsia="Times New Roman" w:hAnsi="Cambria" w:cs="Times New Roman"/>
          <w:lang w:eastAsia="pt-BR"/>
        </w:rPr>
        <w:t>A notificação da Autoridade Coatora para prestar informações no respectivo endereço supramencionado, bem como do d. representante do Ministério Público, nos termos dos artigos 7º, I e 12, ambos da Lei nº 12.016/09;</w:t>
      </w:r>
    </w:p>
    <w:p w:rsidR="001919B0" w:rsidRPr="006D5437" w:rsidRDefault="001919B0" w:rsidP="001919B0">
      <w:pPr>
        <w:numPr>
          <w:ilvl w:val="0"/>
          <w:numId w:val="12"/>
        </w:numPr>
        <w:spacing w:line="240" w:lineRule="auto"/>
        <w:jc w:val="both"/>
        <w:textAlignment w:val="baseline"/>
        <w:rPr>
          <w:rFonts w:ascii="Cambria" w:eastAsia="Times New Roman" w:hAnsi="Cambria" w:cs="Times New Roman"/>
          <w:lang w:eastAsia="pt-BR"/>
        </w:rPr>
      </w:pPr>
      <w:r w:rsidRPr="006D5437">
        <w:rPr>
          <w:rFonts w:ascii="Cambria" w:eastAsia="Times New Roman" w:hAnsi="Cambria" w:cs="Times New Roman"/>
          <w:lang w:eastAsia="pt-BR"/>
        </w:rPr>
        <w:t>Seja dada ciência do feito ao órgão de representação judicial da pessoa jurídica interessada, para, querendo, ingressar no feito; nos moldes do art. 7, inciso II, da Lei 12.016/09; </w:t>
      </w:r>
    </w:p>
    <w:p w:rsidR="001919B0" w:rsidRPr="006D5437" w:rsidRDefault="001919B0" w:rsidP="001919B0">
      <w:pPr>
        <w:numPr>
          <w:ilvl w:val="0"/>
          <w:numId w:val="12"/>
        </w:numPr>
        <w:spacing w:line="240" w:lineRule="auto"/>
        <w:jc w:val="both"/>
        <w:textAlignment w:val="baseline"/>
        <w:rPr>
          <w:rFonts w:ascii="Cambria" w:eastAsia="Times New Roman" w:hAnsi="Cambria" w:cs="Times New Roman"/>
          <w:lang w:eastAsia="pt-BR"/>
        </w:rPr>
      </w:pPr>
      <w:r w:rsidRPr="006D5437">
        <w:rPr>
          <w:rFonts w:ascii="Cambria" w:eastAsia="Times New Roman" w:hAnsi="Cambria" w:cs="Times New Roman"/>
          <w:lang w:eastAsia="pt-BR"/>
        </w:rPr>
        <w:t xml:space="preserve">Seja o </w:t>
      </w:r>
      <w:r w:rsidRPr="00E2117B">
        <w:rPr>
          <w:rFonts w:ascii="Cambria" w:eastAsia="Times New Roman" w:hAnsi="Cambria" w:cs="Times New Roman"/>
          <w:lang w:eastAsia="pt-BR"/>
        </w:rPr>
        <w:t>[MUNICÍPIO]</w:t>
      </w:r>
      <w:r w:rsidRPr="006D5437">
        <w:rPr>
          <w:rFonts w:ascii="Cambria" w:eastAsia="Times New Roman" w:hAnsi="Cambria" w:cs="Times New Roman"/>
          <w:lang w:eastAsia="pt-BR"/>
        </w:rPr>
        <w:t xml:space="preserve"> condenado ao pagamento das custas processuais. </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Acrescente-se, ainda, o desinteresse da Impetrante em relação à realização de audiência de conciliação e mediação, conforme exigência do art. 319, VII do CPC.</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Dá-se à causa o valor de R$</w:t>
      </w:r>
      <w:r w:rsidRPr="00E2117B">
        <w:rPr>
          <w:rFonts w:ascii="Cambria" w:eastAsia="Times New Roman" w:hAnsi="Cambria" w:cs="Times New Roman"/>
          <w:lang w:eastAsia="pt-BR"/>
        </w:rPr>
        <w:t>[VALOR DA CAUSA]</w:t>
      </w:r>
      <w:r w:rsidRPr="006D5437">
        <w:rPr>
          <w:rFonts w:ascii="Cambria" w:eastAsia="Times New Roman" w:hAnsi="Cambria" w:cs="Times New Roman"/>
          <w:lang w:eastAsia="pt-BR"/>
        </w:rPr>
        <w:t xml:space="preserve"> para fins fiscais.</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6D5437">
        <w:rPr>
          <w:rFonts w:ascii="Cambria" w:eastAsia="Times New Roman" w:hAnsi="Cambria" w:cs="Times New Roman"/>
          <w:lang w:eastAsia="pt-BR"/>
        </w:rPr>
        <w:t>Nestes termos, pede deferimento.</w:t>
      </w:r>
    </w:p>
    <w:p w:rsidR="001919B0" w:rsidRPr="006D5437" w:rsidRDefault="001919B0" w:rsidP="001919B0">
      <w:pPr>
        <w:spacing w:line="240" w:lineRule="auto"/>
        <w:ind w:firstLine="2268"/>
        <w:jc w:val="both"/>
        <w:rPr>
          <w:rFonts w:ascii="Times New Roman" w:eastAsia="Times New Roman" w:hAnsi="Times New Roman" w:cs="Times New Roman"/>
          <w:sz w:val="24"/>
          <w:szCs w:val="24"/>
          <w:lang w:eastAsia="pt-BR"/>
        </w:rPr>
      </w:pPr>
      <w:r w:rsidRPr="00E2117B">
        <w:rPr>
          <w:rFonts w:ascii="Cambria" w:eastAsia="Times New Roman" w:hAnsi="Cambria" w:cs="Times New Roman"/>
          <w:lang w:eastAsia="pt-BR"/>
        </w:rPr>
        <w:t>[LOCAL], [DATA]</w:t>
      </w:r>
    </w:p>
    <w:p w:rsidR="001919B0" w:rsidRPr="006D5437" w:rsidRDefault="001919B0" w:rsidP="001919B0">
      <w:pPr>
        <w:spacing w:after="0" w:line="240" w:lineRule="auto"/>
        <w:rPr>
          <w:rFonts w:ascii="Times New Roman" w:eastAsia="Times New Roman" w:hAnsi="Times New Roman" w:cs="Times New Roman"/>
          <w:sz w:val="24"/>
          <w:szCs w:val="24"/>
          <w:lang w:eastAsia="pt-BR"/>
        </w:rPr>
      </w:pPr>
      <w:r w:rsidRPr="006D5437">
        <w:rPr>
          <w:rFonts w:ascii="Times New Roman" w:eastAsia="Times New Roman" w:hAnsi="Times New Roman" w:cs="Times New Roman"/>
          <w:sz w:val="24"/>
          <w:szCs w:val="24"/>
          <w:lang w:eastAsia="pt-BR"/>
        </w:rPr>
        <w:br/>
      </w:r>
      <w:r w:rsidRPr="006D5437">
        <w:rPr>
          <w:rFonts w:ascii="Cambria" w:eastAsia="Times New Roman" w:hAnsi="Cambria" w:cs="Times New Roman"/>
          <w:b/>
          <w:bCs/>
          <w:lang w:eastAsia="pt-BR"/>
        </w:rPr>
        <w:br/>
      </w:r>
    </w:p>
    <w:p w:rsidR="001919B0" w:rsidRPr="006D5437" w:rsidRDefault="001919B0" w:rsidP="001919B0">
      <w:pPr>
        <w:spacing w:line="240" w:lineRule="auto"/>
        <w:jc w:val="center"/>
        <w:rPr>
          <w:rFonts w:ascii="Times New Roman" w:eastAsia="Times New Roman" w:hAnsi="Times New Roman" w:cs="Times New Roman"/>
          <w:sz w:val="24"/>
          <w:szCs w:val="24"/>
          <w:lang w:eastAsia="pt-BR"/>
        </w:rPr>
      </w:pPr>
      <w:r w:rsidRPr="00E2117B">
        <w:rPr>
          <w:rFonts w:ascii="Cambria" w:eastAsia="Times New Roman" w:hAnsi="Cambria" w:cs="Times New Roman"/>
          <w:b/>
          <w:bCs/>
          <w:lang w:eastAsia="pt-BR"/>
        </w:rPr>
        <w:t>[ADVOGADO(A)]</w:t>
      </w:r>
    </w:p>
    <w:p w:rsidR="001919B0" w:rsidRPr="006D5437" w:rsidRDefault="001919B0" w:rsidP="001919B0">
      <w:pPr>
        <w:spacing w:line="240" w:lineRule="auto"/>
        <w:jc w:val="center"/>
        <w:rPr>
          <w:rFonts w:ascii="Times New Roman" w:eastAsia="Times New Roman" w:hAnsi="Times New Roman" w:cs="Times New Roman"/>
          <w:sz w:val="24"/>
          <w:szCs w:val="24"/>
          <w:lang w:eastAsia="pt-BR"/>
        </w:rPr>
      </w:pPr>
      <w:r w:rsidRPr="00E2117B">
        <w:rPr>
          <w:rFonts w:ascii="Cambria" w:eastAsia="Times New Roman" w:hAnsi="Cambria" w:cs="Times New Roman"/>
          <w:lang w:eastAsia="pt-BR"/>
        </w:rPr>
        <w:t>[OAB]</w:t>
      </w:r>
    </w:p>
    <w:p w:rsidR="001919B0" w:rsidRPr="006D5437" w:rsidRDefault="001919B0" w:rsidP="001919B0">
      <w:pPr>
        <w:spacing w:after="240" w:line="240" w:lineRule="auto"/>
        <w:rPr>
          <w:rFonts w:ascii="Times New Roman" w:eastAsia="Times New Roman" w:hAnsi="Times New Roman" w:cs="Times New Roman"/>
          <w:sz w:val="24"/>
          <w:szCs w:val="24"/>
          <w:lang w:eastAsia="pt-BR"/>
        </w:rPr>
      </w:pPr>
      <w:r w:rsidRPr="006D5437">
        <w:rPr>
          <w:rFonts w:ascii="Times New Roman" w:eastAsia="Times New Roman" w:hAnsi="Times New Roman" w:cs="Times New Roman"/>
          <w:sz w:val="24"/>
          <w:szCs w:val="24"/>
          <w:lang w:eastAsia="pt-BR"/>
        </w:rPr>
        <w:br/>
      </w:r>
    </w:p>
    <w:p w:rsidR="001919B0" w:rsidRDefault="001919B0" w:rsidP="001919B0"/>
    <w:p w:rsidR="00D37F0E" w:rsidRDefault="00D37F0E"/>
    <w:p w:rsidR="00D37F0E" w:rsidRPr="00D37F0E" w:rsidRDefault="00D37F0E" w:rsidP="00D37F0E"/>
    <w:p w:rsidR="00D37F0E" w:rsidRPr="00D37F0E" w:rsidRDefault="00D37F0E" w:rsidP="00D37F0E"/>
    <w:p w:rsidR="00D37F0E" w:rsidRPr="00D37F0E" w:rsidRDefault="00D37F0E" w:rsidP="00D37F0E"/>
    <w:p w:rsidR="00D37F0E" w:rsidRPr="00D37F0E" w:rsidRDefault="00D37F0E" w:rsidP="00D37F0E"/>
    <w:p w:rsidR="00D37F0E" w:rsidRPr="00D37F0E" w:rsidRDefault="00D37F0E" w:rsidP="00D37F0E"/>
    <w:p w:rsidR="00D37F0E" w:rsidRPr="00D37F0E" w:rsidRDefault="00D37F0E" w:rsidP="00D37F0E">
      <w:pPr>
        <w:tabs>
          <w:tab w:val="left" w:pos="5052"/>
        </w:tabs>
      </w:pPr>
      <w:bookmarkStart w:id="0" w:name="_GoBack"/>
      <w:bookmarkEnd w:id="0"/>
    </w:p>
    <w:sectPr w:rsidR="00D37F0E" w:rsidRPr="00D37F0E" w:rsidSect="00E974D5">
      <w:headerReference w:type="even" r:id="rId9"/>
      <w:headerReference w:type="default" r:id="rId10"/>
      <w:footerReference w:type="default" r:id="rId11"/>
      <w:headerReference w:type="first" r:id="rId12"/>
      <w:pgSz w:w="11906" w:h="16838"/>
      <w:pgMar w:top="1985" w:right="1701"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2D9" w:rsidRDefault="007822D9" w:rsidP="00D37F0E">
      <w:pPr>
        <w:spacing w:after="0" w:line="240" w:lineRule="auto"/>
      </w:pPr>
      <w:r>
        <w:separator/>
      </w:r>
    </w:p>
  </w:endnote>
  <w:endnote w:type="continuationSeparator" w:id="0">
    <w:p w:rsidR="007822D9" w:rsidRDefault="007822D9" w:rsidP="00D37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4D5" w:rsidRPr="00E974D5" w:rsidRDefault="00E974D5">
    <w:pPr>
      <w:pStyle w:val="Rodap"/>
      <w:jc w:val="right"/>
      <w:rPr>
        <w:color w:val="833C0B" w:themeColor="accent2" w:themeShade="80"/>
      </w:rPr>
    </w:pPr>
    <w:r w:rsidRPr="00E974D5">
      <w:rPr>
        <w:color w:val="833C0B" w:themeColor="accent2" w:themeShade="80"/>
        <w:sz w:val="20"/>
        <w:szCs w:val="20"/>
      </w:rPr>
      <w:fldChar w:fldCharType="begin"/>
    </w:r>
    <w:r w:rsidRPr="00E974D5">
      <w:rPr>
        <w:color w:val="833C0B" w:themeColor="accent2" w:themeShade="80"/>
        <w:sz w:val="20"/>
        <w:szCs w:val="20"/>
      </w:rPr>
      <w:instrText>PAGE  \* Arabic</w:instrText>
    </w:r>
    <w:r w:rsidRPr="00E974D5">
      <w:rPr>
        <w:color w:val="833C0B" w:themeColor="accent2" w:themeShade="80"/>
        <w:sz w:val="20"/>
        <w:szCs w:val="20"/>
      </w:rPr>
      <w:fldChar w:fldCharType="separate"/>
    </w:r>
    <w:r w:rsidR="001919B0">
      <w:rPr>
        <w:noProof/>
        <w:color w:val="833C0B" w:themeColor="accent2" w:themeShade="80"/>
        <w:sz w:val="20"/>
        <w:szCs w:val="20"/>
      </w:rPr>
      <w:t>1</w:t>
    </w:r>
    <w:r w:rsidRPr="00E974D5">
      <w:rPr>
        <w:color w:val="833C0B" w:themeColor="accent2" w:themeShade="80"/>
        <w:sz w:val="20"/>
        <w:szCs w:val="20"/>
      </w:rPr>
      <w:fldChar w:fldCharType="end"/>
    </w:r>
  </w:p>
  <w:p w:rsidR="00D37F0E" w:rsidRDefault="00D37F0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2D9" w:rsidRDefault="007822D9" w:rsidP="00D37F0E">
      <w:pPr>
        <w:spacing w:after="0" w:line="240" w:lineRule="auto"/>
      </w:pPr>
      <w:r>
        <w:separator/>
      </w:r>
    </w:p>
  </w:footnote>
  <w:footnote w:type="continuationSeparator" w:id="0">
    <w:p w:rsidR="007822D9" w:rsidRDefault="007822D9" w:rsidP="00D37F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F0E" w:rsidRDefault="007822D9">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98329" o:spid="_x0000_s2050" type="#_x0000_t75" style="position:absolute;margin-left:0;margin-top:0;width:595.4pt;height:842.15pt;z-index:-251657216;mso-position-horizontal:center;mso-position-horizontal-relative:margin;mso-position-vertical:center;mso-position-vertical-relative:margin" o:allowincell="f">
          <v:imagedata r:id="rId1" o:title="Timbrado_Josiane Minardi (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F0E" w:rsidRDefault="007822D9">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98330" o:spid="_x0000_s2051" type="#_x0000_t75" style="position:absolute;margin-left:0;margin-top:0;width:595.4pt;height:842.15pt;z-index:-251656192;mso-position-horizontal:center;mso-position-horizontal-relative:margin;mso-position-vertical:center;mso-position-vertical-relative:margin" o:allowincell="f">
          <v:imagedata r:id="rId1" o:title="Timbrado_Josiane Minardi (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F0E" w:rsidRDefault="007822D9">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98328" o:spid="_x0000_s2049" type="#_x0000_t75" style="position:absolute;margin-left:0;margin-top:0;width:595.4pt;height:842.15pt;z-index:-251658240;mso-position-horizontal:center;mso-position-horizontal-relative:margin;mso-position-vertical:center;mso-position-vertical-relative:margin" o:allowincell="f">
          <v:imagedata r:id="rId1" o:title="Timbrado_Josiane Minardi (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57C7C"/>
    <w:multiLevelType w:val="hybridMultilevel"/>
    <w:tmpl w:val="0CF8D89E"/>
    <w:lvl w:ilvl="0" w:tplc="E906482A">
      <w:start w:val="3"/>
      <w:numFmt w:val="upperRoman"/>
      <w:lvlText w:val="%1."/>
      <w:lvlJc w:val="right"/>
      <w:pPr>
        <w:tabs>
          <w:tab w:val="num" w:pos="720"/>
        </w:tabs>
        <w:ind w:left="720" w:hanging="360"/>
      </w:pPr>
    </w:lvl>
    <w:lvl w:ilvl="1" w:tplc="C04C9628" w:tentative="1">
      <w:start w:val="1"/>
      <w:numFmt w:val="decimal"/>
      <w:lvlText w:val="%2."/>
      <w:lvlJc w:val="left"/>
      <w:pPr>
        <w:tabs>
          <w:tab w:val="num" w:pos="1440"/>
        </w:tabs>
        <w:ind w:left="1440" w:hanging="360"/>
      </w:pPr>
    </w:lvl>
    <w:lvl w:ilvl="2" w:tplc="110EA94A" w:tentative="1">
      <w:start w:val="1"/>
      <w:numFmt w:val="decimal"/>
      <w:lvlText w:val="%3."/>
      <w:lvlJc w:val="left"/>
      <w:pPr>
        <w:tabs>
          <w:tab w:val="num" w:pos="2160"/>
        </w:tabs>
        <w:ind w:left="2160" w:hanging="360"/>
      </w:pPr>
    </w:lvl>
    <w:lvl w:ilvl="3" w:tplc="22AA45DA" w:tentative="1">
      <w:start w:val="1"/>
      <w:numFmt w:val="decimal"/>
      <w:lvlText w:val="%4."/>
      <w:lvlJc w:val="left"/>
      <w:pPr>
        <w:tabs>
          <w:tab w:val="num" w:pos="2880"/>
        </w:tabs>
        <w:ind w:left="2880" w:hanging="360"/>
      </w:pPr>
    </w:lvl>
    <w:lvl w:ilvl="4" w:tplc="50DEE638" w:tentative="1">
      <w:start w:val="1"/>
      <w:numFmt w:val="decimal"/>
      <w:lvlText w:val="%5."/>
      <w:lvlJc w:val="left"/>
      <w:pPr>
        <w:tabs>
          <w:tab w:val="num" w:pos="3600"/>
        </w:tabs>
        <w:ind w:left="3600" w:hanging="360"/>
      </w:pPr>
    </w:lvl>
    <w:lvl w:ilvl="5" w:tplc="7F46297E" w:tentative="1">
      <w:start w:val="1"/>
      <w:numFmt w:val="decimal"/>
      <w:lvlText w:val="%6."/>
      <w:lvlJc w:val="left"/>
      <w:pPr>
        <w:tabs>
          <w:tab w:val="num" w:pos="4320"/>
        </w:tabs>
        <w:ind w:left="4320" w:hanging="360"/>
      </w:pPr>
    </w:lvl>
    <w:lvl w:ilvl="6" w:tplc="25EAD29A" w:tentative="1">
      <w:start w:val="1"/>
      <w:numFmt w:val="decimal"/>
      <w:lvlText w:val="%7."/>
      <w:lvlJc w:val="left"/>
      <w:pPr>
        <w:tabs>
          <w:tab w:val="num" w:pos="5040"/>
        </w:tabs>
        <w:ind w:left="5040" w:hanging="360"/>
      </w:pPr>
    </w:lvl>
    <w:lvl w:ilvl="7" w:tplc="DFDE0862" w:tentative="1">
      <w:start w:val="1"/>
      <w:numFmt w:val="decimal"/>
      <w:lvlText w:val="%8."/>
      <w:lvlJc w:val="left"/>
      <w:pPr>
        <w:tabs>
          <w:tab w:val="num" w:pos="5760"/>
        </w:tabs>
        <w:ind w:left="5760" w:hanging="360"/>
      </w:pPr>
    </w:lvl>
    <w:lvl w:ilvl="8" w:tplc="D43212CE" w:tentative="1">
      <w:start w:val="1"/>
      <w:numFmt w:val="decimal"/>
      <w:lvlText w:val="%9."/>
      <w:lvlJc w:val="left"/>
      <w:pPr>
        <w:tabs>
          <w:tab w:val="num" w:pos="6480"/>
        </w:tabs>
        <w:ind w:left="6480" w:hanging="360"/>
      </w:pPr>
    </w:lvl>
  </w:abstractNum>
  <w:abstractNum w:abstractNumId="1" w15:restartNumberingAfterBreak="0">
    <w:nsid w:val="129C1B35"/>
    <w:multiLevelType w:val="hybridMultilevel"/>
    <w:tmpl w:val="F28EC110"/>
    <w:lvl w:ilvl="0" w:tplc="08B8B54C">
      <w:start w:val="4"/>
      <w:numFmt w:val="upperRoman"/>
      <w:lvlText w:val="%1."/>
      <w:lvlJc w:val="right"/>
      <w:pPr>
        <w:tabs>
          <w:tab w:val="num" w:pos="720"/>
        </w:tabs>
        <w:ind w:left="720" w:hanging="360"/>
      </w:pPr>
    </w:lvl>
    <w:lvl w:ilvl="1" w:tplc="A5563E7C" w:tentative="1">
      <w:start w:val="1"/>
      <w:numFmt w:val="decimal"/>
      <w:lvlText w:val="%2."/>
      <w:lvlJc w:val="left"/>
      <w:pPr>
        <w:tabs>
          <w:tab w:val="num" w:pos="1440"/>
        </w:tabs>
        <w:ind w:left="1440" w:hanging="360"/>
      </w:pPr>
    </w:lvl>
    <w:lvl w:ilvl="2" w:tplc="9C8669D0" w:tentative="1">
      <w:start w:val="1"/>
      <w:numFmt w:val="decimal"/>
      <w:lvlText w:val="%3."/>
      <w:lvlJc w:val="left"/>
      <w:pPr>
        <w:tabs>
          <w:tab w:val="num" w:pos="2160"/>
        </w:tabs>
        <w:ind w:left="2160" w:hanging="360"/>
      </w:pPr>
    </w:lvl>
    <w:lvl w:ilvl="3" w:tplc="B6661896" w:tentative="1">
      <w:start w:val="1"/>
      <w:numFmt w:val="decimal"/>
      <w:lvlText w:val="%4."/>
      <w:lvlJc w:val="left"/>
      <w:pPr>
        <w:tabs>
          <w:tab w:val="num" w:pos="2880"/>
        </w:tabs>
        <w:ind w:left="2880" w:hanging="360"/>
      </w:pPr>
    </w:lvl>
    <w:lvl w:ilvl="4" w:tplc="A280732A" w:tentative="1">
      <w:start w:val="1"/>
      <w:numFmt w:val="decimal"/>
      <w:lvlText w:val="%5."/>
      <w:lvlJc w:val="left"/>
      <w:pPr>
        <w:tabs>
          <w:tab w:val="num" w:pos="3600"/>
        </w:tabs>
        <w:ind w:left="3600" w:hanging="360"/>
      </w:pPr>
    </w:lvl>
    <w:lvl w:ilvl="5" w:tplc="89CE14F0" w:tentative="1">
      <w:start w:val="1"/>
      <w:numFmt w:val="decimal"/>
      <w:lvlText w:val="%6."/>
      <w:lvlJc w:val="left"/>
      <w:pPr>
        <w:tabs>
          <w:tab w:val="num" w:pos="4320"/>
        </w:tabs>
        <w:ind w:left="4320" w:hanging="360"/>
      </w:pPr>
    </w:lvl>
    <w:lvl w:ilvl="6" w:tplc="B43E45AC" w:tentative="1">
      <w:start w:val="1"/>
      <w:numFmt w:val="decimal"/>
      <w:lvlText w:val="%7."/>
      <w:lvlJc w:val="left"/>
      <w:pPr>
        <w:tabs>
          <w:tab w:val="num" w:pos="5040"/>
        </w:tabs>
        <w:ind w:left="5040" w:hanging="360"/>
      </w:pPr>
    </w:lvl>
    <w:lvl w:ilvl="7" w:tplc="3F701F5C" w:tentative="1">
      <w:start w:val="1"/>
      <w:numFmt w:val="decimal"/>
      <w:lvlText w:val="%8."/>
      <w:lvlJc w:val="left"/>
      <w:pPr>
        <w:tabs>
          <w:tab w:val="num" w:pos="5760"/>
        </w:tabs>
        <w:ind w:left="5760" w:hanging="360"/>
      </w:pPr>
    </w:lvl>
    <w:lvl w:ilvl="8" w:tplc="61568E00" w:tentative="1">
      <w:start w:val="1"/>
      <w:numFmt w:val="decimal"/>
      <w:lvlText w:val="%9."/>
      <w:lvlJc w:val="left"/>
      <w:pPr>
        <w:tabs>
          <w:tab w:val="num" w:pos="6480"/>
        </w:tabs>
        <w:ind w:left="6480" w:hanging="360"/>
      </w:pPr>
    </w:lvl>
  </w:abstractNum>
  <w:abstractNum w:abstractNumId="2" w15:restartNumberingAfterBreak="0">
    <w:nsid w:val="2EA104DF"/>
    <w:multiLevelType w:val="multilevel"/>
    <w:tmpl w:val="1F00C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3269A1"/>
    <w:multiLevelType w:val="hybridMultilevel"/>
    <w:tmpl w:val="37E824E2"/>
    <w:lvl w:ilvl="0" w:tplc="5A7EF472">
      <w:start w:val="2"/>
      <w:numFmt w:val="lowerLetter"/>
      <w:lvlText w:val="%1."/>
      <w:lvlJc w:val="left"/>
      <w:pPr>
        <w:tabs>
          <w:tab w:val="num" w:pos="720"/>
        </w:tabs>
        <w:ind w:left="720" w:hanging="360"/>
      </w:pPr>
    </w:lvl>
    <w:lvl w:ilvl="1" w:tplc="6FE29932" w:tentative="1">
      <w:start w:val="1"/>
      <w:numFmt w:val="decimal"/>
      <w:lvlText w:val="%2."/>
      <w:lvlJc w:val="left"/>
      <w:pPr>
        <w:tabs>
          <w:tab w:val="num" w:pos="1440"/>
        </w:tabs>
        <w:ind w:left="1440" w:hanging="360"/>
      </w:pPr>
    </w:lvl>
    <w:lvl w:ilvl="2" w:tplc="7BDAF662" w:tentative="1">
      <w:start w:val="1"/>
      <w:numFmt w:val="decimal"/>
      <w:lvlText w:val="%3."/>
      <w:lvlJc w:val="left"/>
      <w:pPr>
        <w:tabs>
          <w:tab w:val="num" w:pos="2160"/>
        </w:tabs>
        <w:ind w:left="2160" w:hanging="360"/>
      </w:pPr>
    </w:lvl>
    <w:lvl w:ilvl="3" w:tplc="C01A4D5C" w:tentative="1">
      <w:start w:val="1"/>
      <w:numFmt w:val="decimal"/>
      <w:lvlText w:val="%4."/>
      <w:lvlJc w:val="left"/>
      <w:pPr>
        <w:tabs>
          <w:tab w:val="num" w:pos="2880"/>
        </w:tabs>
        <w:ind w:left="2880" w:hanging="360"/>
      </w:pPr>
    </w:lvl>
    <w:lvl w:ilvl="4" w:tplc="3DE276F4" w:tentative="1">
      <w:start w:val="1"/>
      <w:numFmt w:val="decimal"/>
      <w:lvlText w:val="%5."/>
      <w:lvlJc w:val="left"/>
      <w:pPr>
        <w:tabs>
          <w:tab w:val="num" w:pos="3600"/>
        </w:tabs>
        <w:ind w:left="3600" w:hanging="360"/>
      </w:pPr>
    </w:lvl>
    <w:lvl w:ilvl="5" w:tplc="CF1CDCA8" w:tentative="1">
      <w:start w:val="1"/>
      <w:numFmt w:val="decimal"/>
      <w:lvlText w:val="%6."/>
      <w:lvlJc w:val="left"/>
      <w:pPr>
        <w:tabs>
          <w:tab w:val="num" w:pos="4320"/>
        </w:tabs>
        <w:ind w:left="4320" w:hanging="360"/>
      </w:pPr>
    </w:lvl>
    <w:lvl w:ilvl="6" w:tplc="BDF01102" w:tentative="1">
      <w:start w:val="1"/>
      <w:numFmt w:val="decimal"/>
      <w:lvlText w:val="%7."/>
      <w:lvlJc w:val="left"/>
      <w:pPr>
        <w:tabs>
          <w:tab w:val="num" w:pos="5040"/>
        </w:tabs>
        <w:ind w:left="5040" w:hanging="360"/>
      </w:pPr>
    </w:lvl>
    <w:lvl w:ilvl="7" w:tplc="DFD8E096" w:tentative="1">
      <w:start w:val="1"/>
      <w:numFmt w:val="decimal"/>
      <w:lvlText w:val="%8."/>
      <w:lvlJc w:val="left"/>
      <w:pPr>
        <w:tabs>
          <w:tab w:val="num" w:pos="5760"/>
        </w:tabs>
        <w:ind w:left="5760" w:hanging="360"/>
      </w:pPr>
    </w:lvl>
    <w:lvl w:ilvl="8" w:tplc="8D7C6FA8" w:tentative="1">
      <w:start w:val="1"/>
      <w:numFmt w:val="decimal"/>
      <w:lvlText w:val="%9."/>
      <w:lvlJc w:val="left"/>
      <w:pPr>
        <w:tabs>
          <w:tab w:val="num" w:pos="6480"/>
        </w:tabs>
        <w:ind w:left="6480" w:hanging="360"/>
      </w:pPr>
    </w:lvl>
  </w:abstractNum>
  <w:abstractNum w:abstractNumId="4" w15:restartNumberingAfterBreak="0">
    <w:nsid w:val="3E340E0C"/>
    <w:multiLevelType w:val="hybridMultilevel"/>
    <w:tmpl w:val="1C30BF6C"/>
    <w:lvl w:ilvl="0" w:tplc="33B6226A">
      <w:start w:val="3"/>
      <w:numFmt w:val="lowerLetter"/>
      <w:lvlText w:val="%1."/>
      <w:lvlJc w:val="left"/>
      <w:pPr>
        <w:tabs>
          <w:tab w:val="num" w:pos="720"/>
        </w:tabs>
        <w:ind w:left="720" w:hanging="360"/>
      </w:pPr>
    </w:lvl>
    <w:lvl w:ilvl="1" w:tplc="C590DF8C" w:tentative="1">
      <w:start w:val="1"/>
      <w:numFmt w:val="decimal"/>
      <w:lvlText w:val="%2."/>
      <w:lvlJc w:val="left"/>
      <w:pPr>
        <w:tabs>
          <w:tab w:val="num" w:pos="1440"/>
        </w:tabs>
        <w:ind w:left="1440" w:hanging="360"/>
      </w:pPr>
    </w:lvl>
    <w:lvl w:ilvl="2" w:tplc="826009D6" w:tentative="1">
      <w:start w:val="1"/>
      <w:numFmt w:val="decimal"/>
      <w:lvlText w:val="%3."/>
      <w:lvlJc w:val="left"/>
      <w:pPr>
        <w:tabs>
          <w:tab w:val="num" w:pos="2160"/>
        </w:tabs>
        <w:ind w:left="2160" w:hanging="360"/>
      </w:pPr>
    </w:lvl>
    <w:lvl w:ilvl="3" w:tplc="A4EEDE90" w:tentative="1">
      <w:start w:val="1"/>
      <w:numFmt w:val="decimal"/>
      <w:lvlText w:val="%4."/>
      <w:lvlJc w:val="left"/>
      <w:pPr>
        <w:tabs>
          <w:tab w:val="num" w:pos="2880"/>
        </w:tabs>
        <w:ind w:left="2880" w:hanging="360"/>
      </w:pPr>
    </w:lvl>
    <w:lvl w:ilvl="4" w:tplc="FF142CAE" w:tentative="1">
      <w:start w:val="1"/>
      <w:numFmt w:val="decimal"/>
      <w:lvlText w:val="%5."/>
      <w:lvlJc w:val="left"/>
      <w:pPr>
        <w:tabs>
          <w:tab w:val="num" w:pos="3600"/>
        </w:tabs>
        <w:ind w:left="3600" w:hanging="360"/>
      </w:pPr>
    </w:lvl>
    <w:lvl w:ilvl="5" w:tplc="8D84ADC2" w:tentative="1">
      <w:start w:val="1"/>
      <w:numFmt w:val="decimal"/>
      <w:lvlText w:val="%6."/>
      <w:lvlJc w:val="left"/>
      <w:pPr>
        <w:tabs>
          <w:tab w:val="num" w:pos="4320"/>
        </w:tabs>
        <w:ind w:left="4320" w:hanging="360"/>
      </w:pPr>
    </w:lvl>
    <w:lvl w:ilvl="6" w:tplc="84D44DA6" w:tentative="1">
      <w:start w:val="1"/>
      <w:numFmt w:val="decimal"/>
      <w:lvlText w:val="%7."/>
      <w:lvlJc w:val="left"/>
      <w:pPr>
        <w:tabs>
          <w:tab w:val="num" w:pos="5040"/>
        </w:tabs>
        <w:ind w:left="5040" w:hanging="360"/>
      </w:pPr>
    </w:lvl>
    <w:lvl w:ilvl="7" w:tplc="6AD4E796" w:tentative="1">
      <w:start w:val="1"/>
      <w:numFmt w:val="decimal"/>
      <w:lvlText w:val="%8."/>
      <w:lvlJc w:val="left"/>
      <w:pPr>
        <w:tabs>
          <w:tab w:val="num" w:pos="5760"/>
        </w:tabs>
        <w:ind w:left="5760" w:hanging="360"/>
      </w:pPr>
    </w:lvl>
    <w:lvl w:ilvl="8" w:tplc="F18C52CA" w:tentative="1">
      <w:start w:val="1"/>
      <w:numFmt w:val="decimal"/>
      <w:lvlText w:val="%9."/>
      <w:lvlJc w:val="left"/>
      <w:pPr>
        <w:tabs>
          <w:tab w:val="num" w:pos="6480"/>
        </w:tabs>
        <w:ind w:left="6480" w:hanging="360"/>
      </w:pPr>
    </w:lvl>
  </w:abstractNum>
  <w:abstractNum w:abstractNumId="5" w15:restartNumberingAfterBreak="0">
    <w:nsid w:val="42EF0C00"/>
    <w:multiLevelType w:val="hybridMultilevel"/>
    <w:tmpl w:val="0838C0A8"/>
    <w:lvl w:ilvl="0" w:tplc="899E1840">
      <w:start w:val="2"/>
      <w:numFmt w:val="upperRoman"/>
      <w:lvlText w:val="%1."/>
      <w:lvlJc w:val="right"/>
      <w:pPr>
        <w:tabs>
          <w:tab w:val="num" w:pos="720"/>
        </w:tabs>
        <w:ind w:left="720" w:hanging="360"/>
      </w:pPr>
    </w:lvl>
    <w:lvl w:ilvl="1" w:tplc="A1887B72" w:tentative="1">
      <w:start w:val="1"/>
      <w:numFmt w:val="decimal"/>
      <w:lvlText w:val="%2."/>
      <w:lvlJc w:val="left"/>
      <w:pPr>
        <w:tabs>
          <w:tab w:val="num" w:pos="1440"/>
        </w:tabs>
        <w:ind w:left="1440" w:hanging="360"/>
      </w:pPr>
    </w:lvl>
    <w:lvl w:ilvl="2" w:tplc="5AF49D7E" w:tentative="1">
      <w:start w:val="1"/>
      <w:numFmt w:val="decimal"/>
      <w:lvlText w:val="%3."/>
      <w:lvlJc w:val="left"/>
      <w:pPr>
        <w:tabs>
          <w:tab w:val="num" w:pos="2160"/>
        </w:tabs>
        <w:ind w:left="2160" w:hanging="360"/>
      </w:pPr>
    </w:lvl>
    <w:lvl w:ilvl="3" w:tplc="92044B88" w:tentative="1">
      <w:start w:val="1"/>
      <w:numFmt w:val="decimal"/>
      <w:lvlText w:val="%4."/>
      <w:lvlJc w:val="left"/>
      <w:pPr>
        <w:tabs>
          <w:tab w:val="num" w:pos="2880"/>
        </w:tabs>
        <w:ind w:left="2880" w:hanging="360"/>
      </w:pPr>
    </w:lvl>
    <w:lvl w:ilvl="4" w:tplc="EE4218DA" w:tentative="1">
      <w:start w:val="1"/>
      <w:numFmt w:val="decimal"/>
      <w:lvlText w:val="%5."/>
      <w:lvlJc w:val="left"/>
      <w:pPr>
        <w:tabs>
          <w:tab w:val="num" w:pos="3600"/>
        </w:tabs>
        <w:ind w:left="3600" w:hanging="360"/>
      </w:pPr>
    </w:lvl>
    <w:lvl w:ilvl="5" w:tplc="B6DA480A" w:tentative="1">
      <w:start w:val="1"/>
      <w:numFmt w:val="decimal"/>
      <w:lvlText w:val="%6."/>
      <w:lvlJc w:val="left"/>
      <w:pPr>
        <w:tabs>
          <w:tab w:val="num" w:pos="4320"/>
        </w:tabs>
        <w:ind w:left="4320" w:hanging="360"/>
      </w:pPr>
    </w:lvl>
    <w:lvl w:ilvl="6" w:tplc="2D3A5012" w:tentative="1">
      <w:start w:val="1"/>
      <w:numFmt w:val="decimal"/>
      <w:lvlText w:val="%7."/>
      <w:lvlJc w:val="left"/>
      <w:pPr>
        <w:tabs>
          <w:tab w:val="num" w:pos="5040"/>
        </w:tabs>
        <w:ind w:left="5040" w:hanging="360"/>
      </w:pPr>
    </w:lvl>
    <w:lvl w:ilvl="7" w:tplc="1F38EE48" w:tentative="1">
      <w:start w:val="1"/>
      <w:numFmt w:val="decimal"/>
      <w:lvlText w:val="%8."/>
      <w:lvlJc w:val="left"/>
      <w:pPr>
        <w:tabs>
          <w:tab w:val="num" w:pos="5760"/>
        </w:tabs>
        <w:ind w:left="5760" w:hanging="360"/>
      </w:pPr>
    </w:lvl>
    <w:lvl w:ilvl="8" w:tplc="D79E73B2" w:tentative="1">
      <w:start w:val="1"/>
      <w:numFmt w:val="decimal"/>
      <w:lvlText w:val="%9."/>
      <w:lvlJc w:val="left"/>
      <w:pPr>
        <w:tabs>
          <w:tab w:val="num" w:pos="6480"/>
        </w:tabs>
        <w:ind w:left="6480" w:hanging="360"/>
      </w:pPr>
    </w:lvl>
  </w:abstractNum>
  <w:abstractNum w:abstractNumId="6" w15:restartNumberingAfterBreak="0">
    <w:nsid w:val="4A9D3A55"/>
    <w:multiLevelType w:val="hybridMultilevel"/>
    <w:tmpl w:val="21701650"/>
    <w:lvl w:ilvl="0" w:tplc="4E86B994">
      <w:start w:val="4"/>
      <w:numFmt w:val="lowerLetter"/>
      <w:lvlText w:val="%1."/>
      <w:lvlJc w:val="left"/>
      <w:pPr>
        <w:tabs>
          <w:tab w:val="num" w:pos="720"/>
        </w:tabs>
        <w:ind w:left="720" w:hanging="360"/>
      </w:pPr>
    </w:lvl>
    <w:lvl w:ilvl="1" w:tplc="E6B2DE4C" w:tentative="1">
      <w:start w:val="1"/>
      <w:numFmt w:val="decimal"/>
      <w:lvlText w:val="%2."/>
      <w:lvlJc w:val="left"/>
      <w:pPr>
        <w:tabs>
          <w:tab w:val="num" w:pos="1440"/>
        </w:tabs>
        <w:ind w:left="1440" w:hanging="360"/>
      </w:pPr>
    </w:lvl>
    <w:lvl w:ilvl="2" w:tplc="C88675B0" w:tentative="1">
      <w:start w:val="1"/>
      <w:numFmt w:val="decimal"/>
      <w:lvlText w:val="%3."/>
      <w:lvlJc w:val="left"/>
      <w:pPr>
        <w:tabs>
          <w:tab w:val="num" w:pos="2160"/>
        </w:tabs>
        <w:ind w:left="2160" w:hanging="360"/>
      </w:pPr>
    </w:lvl>
    <w:lvl w:ilvl="3" w:tplc="40569EDE" w:tentative="1">
      <w:start w:val="1"/>
      <w:numFmt w:val="decimal"/>
      <w:lvlText w:val="%4."/>
      <w:lvlJc w:val="left"/>
      <w:pPr>
        <w:tabs>
          <w:tab w:val="num" w:pos="2880"/>
        </w:tabs>
        <w:ind w:left="2880" w:hanging="360"/>
      </w:pPr>
    </w:lvl>
    <w:lvl w:ilvl="4" w:tplc="3244D598" w:tentative="1">
      <w:start w:val="1"/>
      <w:numFmt w:val="decimal"/>
      <w:lvlText w:val="%5."/>
      <w:lvlJc w:val="left"/>
      <w:pPr>
        <w:tabs>
          <w:tab w:val="num" w:pos="3600"/>
        </w:tabs>
        <w:ind w:left="3600" w:hanging="360"/>
      </w:pPr>
    </w:lvl>
    <w:lvl w:ilvl="5" w:tplc="CA1E7AA8" w:tentative="1">
      <w:start w:val="1"/>
      <w:numFmt w:val="decimal"/>
      <w:lvlText w:val="%6."/>
      <w:lvlJc w:val="left"/>
      <w:pPr>
        <w:tabs>
          <w:tab w:val="num" w:pos="4320"/>
        </w:tabs>
        <w:ind w:left="4320" w:hanging="360"/>
      </w:pPr>
    </w:lvl>
    <w:lvl w:ilvl="6" w:tplc="1234C272" w:tentative="1">
      <w:start w:val="1"/>
      <w:numFmt w:val="decimal"/>
      <w:lvlText w:val="%7."/>
      <w:lvlJc w:val="left"/>
      <w:pPr>
        <w:tabs>
          <w:tab w:val="num" w:pos="5040"/>
        </w:tabs>
        <w:ind w:left="5040" w:hanging="360"/>
      </w:pPr>
    </w:lvl>
    <w:lvl w:ilvl="7" w:tplc="22346780" w:tentative="1">
      <w:start w:val="1"/>
      <w:numFmt w:val="decimal"/>
      <w:lvlText w:val="%8."/>
      <w:lvlJc w:val="left"/>
      <w:pPr>
        <w:tabs>
          <w:tab w:val="num" w:pos="5760"/>
        </w:tabs>
        <w:ind w:left="5760" w:hanging="360"/>
      </w:pPr>
    </w:lvl>
    <w:lvl w:ilvl="8" w:tplc="F5CC5DA8" w:tentative="1">
      <w:start w:val="1"/>
      <w:numFmt w:val="decimal"/>
      <w:lvlText w:val="%9."/>
      <w:lvlJc w:val="left"/>
      <w:pPr>
        <w:tabs>
          <w:tab w:val="num" w:pos="6480"/>
        </w:tabs>
        <w:ind w:left="6480" w:hanging="360"/>
      </w:pPr>
    </w:lvl>
  </w:abstractNum>
  <w:abstractNum w:abstractNumId="7" w15:restartNumberingAfterBreak="0">
    <w:nsid w:val="59FA151B"/>
    <w:multiLevelType w:val="multilevel"/>
    <w:tmpl w:val="AAF89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1A6D99"/>
    <w:multiLevelType w:val="multilevel"/>
    <w:tmpl w:val="C96CD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DB1F55"/>
    <w:multiLevelType w:val="multilevel"/>
    <w:tmpl w:val="8154D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9F5728"/>
    <w:multiLevelType w:val="multilevel"/>
    <w:tmpl w:val="E932C8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C0416A"/>
    <w:multiLevelType w:val="hybridMultilevel"/>
    <w:tmpl w:val="77EAA70E"/>
    <w:lvl w:ilvl="0" w:tplc="6EECF3B2">
      <w:start w:val="5"/>
      <w:numFmt w:val="upperRoman"/>
      <w:lvlText w:val="%1."/>
      <w:lvlJc w:val="right"/>
      <w:pPr>
        <w:tabs>
          <w:tab w:val="num" w:pos="720"/>
        </w:tabs>
        <w:ind w:left="720" w:hanging="360"/>
      </w:pPr>
    </w:lvl>
    <w:lvl w:ilvl="1" w:tplc="82B6EFC8" w:tentative="1">
      <w:start w:val="1"/>
      <w:numFmt w:val="decimal"/>
      <w:lvlText w:val="%2."/>
      <w:lvlJc w:val="left"/>
      <w:pPr>
        <w:tabs>
          <w:tab w:val="num" w:pos="1440"/>
        </w:tabs>
        <w:ind w:left="1440" w:hanging="360"/>
      </w:pPr>
    </w:lvl>
    <w:lvl w:ilvl="2" w:tplc="6A34D9A8" w:tentative="1">
      <w:start w:val="1"/>
      <w:numFmt w:val="decimal"/>
      <w:lvlText w:val="%3."/>
      <w:lvlJc w:val="left"/>
      <w:pPr>
        <w:tabs>
          <w:tab w:val="num" w:pos="2160"/>
        </w:tabs>
        <w:ind w:left="2160" w:hanging="360"/>
      </w:pPr>
    </w:lvl>
    <w:lvl w:ilvl="3" w:tplc="A7F02F1A" w:tentative="1">
      <w:start w:val="1"/>
      <w:numFmt w:val="decimal"/>
      <w:lvlText w:val="%4."/>
      <w:lvlJc w:val="left"/>
      <w:pPr>
        <w:tabs>
          <w:tab w:val="num" w:pos="2880"/>
        </w:tabs>
        <w:ind w:left="2880" w:hanging="360"/>
      </w:pPr>
    </w:lvl>
    <w:lvl w:ilvl="4" w:tplc="805EF38C" w:tentative="1">
      <w:start w:val="1"/>
      <w:numFmt w:val="decimal"/>
      <w:lvlText w:val="%5."/>
      <w:lvlJc w:val="left"/>
      <w:pPr>
        <w:tabs>
          <w:tab w:val="num" w:pos="3600"/>
        </w:tabs>
        <w:ind w:left="3600" w:hanging="360"/>
      </w:pPr>
    </w:lvl>
    <w:lvl w:ilvl="5" w:tplc="C50CD660" w:tentative="1">
      <w:start w:val="1"/>
      <w:numFmt w:val="decimal"/>
      <w:lvlText w:val="%6."/>
      <w:lvlJc w:val="left"/>
      <w:pPr>
        <w:tabs>
          <w:tab w:val="num" w:pos="4320"/>
        </w:tabs>
        <w:ind w:left="4320" w:hanging="360"/>
      </w:pPr>
    </w:lvl>
    <w:lvl w:ilvl="6" w:tplc="AA587B80" w:tentative="1">
      <w:start w:val="1"/>
      <w:numFmt w:val="decimal"/>
      <w:lvlText w:val="%7."/>
      <w:lvlJc w:val="left"/>
      <w:pPr>
        <w:tabs>
          <w:tab w:val="num" w:pos="5040"/>
        </w:tabs>
        <w:ind w:left="5040" w:hanging="360"/>
      </w:pPr>
    </w:lvl>
    <w:lvl w:ilvl="7" w:tplc="4E568D12" w:tentative="1">
      <w:start w:val="1"/>
      <w:numFmt w:val="decimal"/>
      <w:lvlText w:val="%8."/>
      <w:lvlJc w:val="left"/>
      <w:pPr>
        <w:tabs>
          <w:tab w:val="num" w:pos="5760"/>
        </w:tabs>
        <w:ind w:left="5760" w:hanging="360"/>
      </w:pPr>
    </w:lvl>
    <w:lvl w:ilvl="8" w:tplc="977E5690" w:tentative="1">
      <w:start w:val="1"/>
      <w:numFmt w:val="decimal"/>
      <w:lvlText w:val="%9."/>
      <w:lvlJc w:val="left"/>
      <w:pPr>
        <w:tabs>
          <w:tab w:val="num" w:pos="6480"/>
        </w:tabs>
        <w:ind w:left="6480" w:hanging="360"/>
      </w:pPr>
    </w:lvl>
  </w:abstractNum>
  <w:num w:numId="1">
    <w:abstractNumId w:val="9"/>
    <w:lvlOverride w:ilvl="0">
      <w:lvl w:ilvl="0">
        <w:numFmt w:val="upperRoman"/>
        <w:lvlText w:val="%1."/>
        <w:lvlJc w:val="right"/>
      </w:lvl>
    </w:lvlOverride>
  </w:num>
  <w:num w:numId="2">
    <w:abstractNumId w:val="5"/>
  </w:num>
  <w:num w:numId="3">
    <w:abstractNumId w:val="0"/>
  </w:num>
  <w:num w:numId="4">
    <w:abstractNumId w:val="7"/>
  </w:num>
  <w:num w:numId="5">
    <w:abstractNumId w:val="10"/>
    <w:lvlOverride w:ilvl="0">
      <w:lvl w:ilvl="0">
        <w:numFmt w:val="decimal"/>
        <w:lvlText w:val="%1."/>
        <w:lvlJc w:val="left"/>
      </w:lvl>
    </w:lvlOverride>
  </w:num>
  <w:num w:numId="6">
    <w:abstractNumId w:val="8"/>
    <w:lvlOverride w:ilvl="0">
      <w:lvl w:ilvl="0">
        <w:numFmt w:val="lowerLetter"/>
        <w:lvlText w:val="%1."/>
        <w:lvlJc w:val="left"/>
      </w:lvl>
    </w:lvlOverride>
  </w:num>
  <w:num w:numId="7">
    <w:abstractNumId w:val="3"/>
  </w:num>
  <w:num w:numId="8">
    <w:abstractNumId w:val="4"/>
  </w:num>
  <w:num w:numId="9">
    <w:abstractNumId w:val="6"/>
  </w:num>
  <w:num w:numId="10">
    <w:abstractNumId w:val="1"/>
  </w:num>
  <w:num w:numId="11">
    <w:abstractNumId w:val="11"/>
  </w:num>
  <w:num w:numId="12">
    <w:abstractNumId w:val="2"/>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9B0"/>
    <w:rsid w:val="001919B0"/>
    <w:rsid w:val="00507103"/>
    <w:rsid w:val="00567C4D"/>
    <w:rsid w:val="007822D9"/>
    <w:rsid w:val="0079230B"/>
    <w:rsid w:val="00960C84"/>
    <w:rsid w:val="00BD0C8D"/>
    <w:rsid w:val="00D37F0E"/>
    <w:rsid w:val="00E974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09D52D99-C6FF-4726-ACA5-5EC8A389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37F0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37F0E"/>
  </w:style>
  <w:style w:type="paragraph" w:styleId="Rodap">
    <w:name w:val="footer"/>
    <w:basedOn w:val="Normal"/>
    <w:link w:val="RodapChar"/>
    <w:uiPriority w:val="99"/>
    <w:unhideWhenUsed/>
    <w:rsid w:val="00D37F0E"/>
    <w:pPr>
      <w:tabs>
        <w:tab w:val="center" w:pos="4252"/>
        <w:tab w:val="right" w:pos="8504"/>
      </w:tabs>
      <w:spacing w:after="0" w:line="240" w:lineRule="auto"/>
    </w:pPr>
  </w:style>
  <w:style w:type="character" w:customStyle="1" w:styleId="RodapChar">
    <w:name w:val="Rodapé Char"/>
    <w:basedOn w:val="Fontepargpadro"/>
    <w:link w:val="Rodap"/>
    <w:uiPriority w:val="99"/>
    <w:rsid w:val="00D37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tabeis.com.br/empresarial/objeto_soci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marca%20josiane%20minardi%202024%20aprovada\TIMBRADO%20JOSIANE%20MINARDI.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91828-91C6-42BF-B513-AE3181A6E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TIMBRADO JOSIANE MINARDI</Template>
  <TotalTime>2</TotalTime>
  <Pages>18</Pages>
  <Words>8482</Words>
  <Characters>45809</Characters>
  <Application>Microsoft Office Word</Application>
  <DocSecurity>0</DocSecurity>
  <Lines>381</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2024-09-10T20:57:00Z</dcterms:created>
  <dcterms:modified xsi:type="dcterms:W3CDTF">2024-09-10T21:00:00Z</dcterms:modified>
</cp:coreProperties>
</file>